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1EF96" w14:textId="32368D7F" w:rsidR="00D10DCE" w:rsidRPr="00063071" w:rsidRDefault="0083518A" w:rsidP="000540C4">
      <w:pPr>
        <w:rPr>
          <w:rFonts w:ascii="Calibri" w:hAnsi="Calibri" w:cs="Calibri"/>
          <w:sz w:val="22"/>
          <w:szCs w:val="22"/>
        </w:rPr>
      </w:pPr>
      <w:r w:rsidRPr="00063071">
        <w:rPr>
          <w:rFonts w:ascii="Calibri" w:hAnsi="Calibri" w:cs="Calibri"/>
          <w:sz w:val="22"/>
          <w:szCs w:val="22"/>
        </w:rPr>
        <w:t xml:space="preserve">  </w:t>
      </w:r>
      <w:r w:rsidR="00A5564A" w:rsidRPr="00063071">
        <w:rPr>
          <w:rFonts w:ascii="Calibri" w:hAnsi="Calibri" w:cs="Calibri"/>
          <w:sz w:val="22"/>
          <w:szCs w:val="22"/>
        </w:rPr>
        <w:tab/>
      </w:r>
      <w:r w:rsidR="00A5564A" w:rsidRPr="00063071">
        <w:rPr>
          <w:rFonts w:ascii="Calibri" w:hAnsi="Calibri" w:cs="Calibri"/>
          <w:sz w:val="22"/>
          <w:szCs w:val="22"/>
        </w:rPr>
        <w:tab/>
      </w:r>
      <w:r w:rsidR="00A5564A" w:rsidRPr="00063071">
        <w:rPr>
          <w:rFonts w:ascii="Calibri" w:hAnsi="Calibri" w:cs="Calibri"/>
          <w:sz w:val="22"/>
          <w:szCs w:val="22"/>
        </w:rPr>
        <w:tab/>
      </w:r>
      <w:r w:rsidR="00D10DCE" w:rsidRPr="00063071">
        <w:rPr>
          <w:rFonts w:ascii="Calibri" w:hAnsi="Calibri" w:cs="Calibri"/>
          <w:sz w:val="22"/>
          <w:szCs w:val="22"/>
        </w:rPr>
        <w:tab/>
      </w:r>
      <w:r w:rsidR="00D10DCE" w:rsidRPr="00063071">
        <w:rPr>
          <w:rFonts w:ascii="Calibri" w:hAnsi="Calibri" w:cs="Calibri"/>
          <w:sz w:val="22"/>
          <w:szCs w:val="22"/>
        </w:rPr>
        <w:tab/>
        <w:t xml:space="preserve">                     </w:t>
      </w:r>
      <w:r w:rsidR="00DF00B6" w:rsidRPr="00063071">
        <w:rPr>
          <w:rFonts w:ascii="Calibri" w:hAnsi="Calibri" w:cs="Calibri"/>
          <w:sz w:val="22"/>
          <w:szCs w:val="22"/>
        </w:rPr>
        <w:t xml:space="preserve">  </w:t>
      </w:r>
      <w:r w:rsidR="006F5E57" w:rsidRPr="00063071">
        <w:rPr>
          <w:rFonts w:ascii="Calibri" w:hAnsi="Calibri" w:cs="Calibri"/>
          <w:sz w:val="22"/>
          <w:szCs w:val="22"/>
        </w:rPr>
        <w:t xml:space="preserve"> </w:t>
      </w:r>
      <w:r w:rsidR="00DF00B6" w:rsidRPr="00063071">
        <w:rPr>
          <w:rFonts w:ascii="Calibri" w:hAnsi="Calibri" w:cs="Calibri"/>
          <w:sz w:val="22"/>
          <w:szCs w:val="22"/>
        </w:rPr>
        <w:t xml:space="preserve">  </w:t>
      </w:r>
      <w:r w:rsidRPr="00063071">
        <w:rPr>
          <w:rFonts w:ascii="Calibri" w:hAnsi="Calibri" w:cs="Calibri"/>
          <w:sz w:val="22"/>
          <w:szCs w:val="22"/>
        </w:rPr>
        <w:t xml:space="preserve">     </w:t>
      </w:r>
      <w:r w:rsidR="004C475A" w:rsidRPr="00063071">
        <w:rPr>
          <w:rFonts w:ascii="Calibri" w:hAnsi="Calibri" w:cs="Calibri"/>
          <w:sz w:val="22"/>
          <w:szCs w:val="22"/>
        </w:rPr>
        <w:t xml:space="preserve">             </w:t>
      </w:r>
    </w:p>
    <w:p w14:paraId="48142AAA" w14:textId="49EB23AF" w:rsidR="004C475A" w:rsidRPr="00063071" w:rsidRDefault="00A5564A" w:rsidP="001D00E7">
      <w:pPr>
        <w:spacing w:before="120" w:after="120"/>
        <w:rPr>
          <w:rFonts w:ascii="Calibri" w:hAnsi="Calibri" w:cs="Calibri"/>
          <w:sz w:val="22"/>
          <w:szCs w:val="22"/>
        </w:rPr>
      </w:pPr>
      <w:r w:rsidRPr="00063071">
        <w:rPr>
          <w:rFonts w:ascii="Calibri" w:hAnsi="Calibri" w:cs="Calibri"/>
          <w:sz w:val="22"/>
          <w:szCs w:val="22"/>
        </w:rPr>
        <w:tab/>
      </w:r>
      <w:r w:rsidRPr="00063071">
        <w:rPr>
          <w:rFonts w:ascii="Calibri" w:hAnsi="Calibri" w:cs="Calibri"/>
          <w:sz w:val="22"/>
          <w:szCs w:val="22"/>
        </w:rPr>
        <w:tab/>
      </w:r>
      <w:r w:rsidR="00D10DCE" w:rsidRPr="00063071">
        <w:rPr>
          <w:rFonts w:ascii="Calibri" w:hAnsi="Calibri" w:cs="Calibri"/>
          <w:sz w:val="22"/>
          <w:szCs w:val="22"/>
        </w:rPr>
        <w:tab/>
      </w:r>
      <w:r w:rsidR="00D10DCE" w:rsidRPr="00063071">
        <w:rPr>
          <w:rFonts w:ascii="Calibri" w:hAnsi="Calibri" w:cs="Calibri"/>
          <w:sz w:val="22"/>
          <w:szCs w:val="22"/>
        </w:rPr>
        <w:tab/>
      </w:r>
      <w:r w:rsidR="00D10DCE" w:rsidRPr="00063071">
        <w:rPr>
          <w:rFonts w:ascii="Calibri" w:hAnsi="Calibri" w:cs="Calibri"/>
          <w:sz w:val="22"/>
          <w:szCs w:val="22"/>
        </w:rPr>
        <w:tab/>
      </w:r>
    </w:p>
    <w:p w14:paraId="7C2FBE1C" w14:textId="77777777" w:rsidR="004C475A" w:rsidRPr="00063071" w:rsidRDefault="004C475A" w:rsidP="004C475A">
      <w:pPr>
        <w:pStyle w:val="Heading"/>
        <w:pBdr>
          <w:bottom w:val="single" w:sz="8" w:space="27" w:color="4F81BD"/>
        </w:pBdr>
        <w:spacing w:after="120"/>
        <w:rPr>
          <w:rFonts w:ascii="Calibri" w:hAnsi="Calibri" w:cs="Calibri"/>
          <w:b/>
          <w:color w:val="auto"/>
          <w:sz w:val="22"/>
          <w:szCs w:val="22"/>
        </w:rPr>
      </w:pPr>
    </w:p>
    <w:p w14:paraId="7E666531" w14:textId="77777777" w:rsidR="004C475A" w:rsidRPr="00063071" w:rsidRDefault="004C475A" w:rsidP="004C475A">
      <w:pPr>
        <w:pStyle w:val="Heading"/>
        <w:pBdr>
          <w:bottom w:val="single" w:sz="8" w:space="27" w:color="4F81BD"/>
        </w:pBdr>
        <w:spacing w:after="120"/>
        <w:rPr>
          <w:rFonts w:ascii="Calibri" w:hAnsi="Calibri" w:cs="Calibri"/>
          <w:b/>
          <w:color w:val="auto"/>
          <w:sz w:val="22"/>
          <w:szCs w:val="22"/>
        </w:rPr>
      </w:pPr>
    </w:p>
    <w:p w14:paraId="260D38D8" w14:textId="77777777" w:rsidR="004C475A" w:rsidRPr="00063071" w:rsidRDefault="004C475A" w:rsidP="004C475A">
      <w:pPr>
        <w:pStyle w:val="Heading"/>
        <w:pBdr>
          <w:bottom w:val="single" w:sz="8" w:space="27" w:color="4F81BD"/>
        </w:pBdr>
        <w:spacing w:after="120"/>
        <w:rPr>
          <w:rFonts w:ascii="Calibri" w:hAnsi="Calibri" w:cs="Calibri"/>
          <w:b/>
          <w:color w:val="auto"/>
          <w:sz w:val="22"/>
          <w:szCs w:val="22"/>
        </w:rPr>
      </w:pPr>
    </w:p>
    <w:p w14:paraId="164AD507" w14:textId="77777777" w:rsidR="004C475A" w:rsidRPr="00063071" w:rsidRDefault="004C475A" w:rsidP="004C475A">
      <w:pPr>
        <w:pStyle w:val="Heading"/>
        <w:pBdr>
          <w:bottom w:val="single" w:sz="8" w:space="27" w:color="4F81BD"/>
        </w:pBdr>
        <w:spacing w:after="120"/>
        <w:rPr>
          <w:rFonts w:ascii="Calibri" w:hAnsi="Calibri" w:cs="Calibri"/>
          <w:b/>
          <w:color w:val="auto"/>
          <w:sz w:val="22"/>
          <w:szCs w:val="22"/>
        </w:rPr>
      </w:pPr>
    </w:p>
    <w:p w14:paraId="77B06657" w14:textId="430285A8" w:rsidR="00E022F0" w:rsidRPr="00063071" w:rsidRDefault="00051E93" w:rsidP="00E022F0">
      <w:pPr>
        <w:autoSpaceDE w:val="0"/>
        <w:autoSpaceDN w:val="0"/>
        <w:adjustRightInd w:val="0"/>
        <w:spacing w:line="240" w:lineRule="auto"/>
        <w:jc w:val="left"/>
        <w:rPr>
          <w:rFonts w:ascii="Calibri" w:hAnsi="Calibri" w:cs="Calibri"/>
          <w:b/>
          <w:bCs/>
          <w:sz w:val="22"/>
          <w:szCs w:val="22"/>
        </w:rPr>
      </w:pPr>
      <w:r w:rsidRPr="00063071">
        <w:rPr>
          <w:rFonts w:ascii="Calibri" w:hAnsi="Calibri" w:cs="Calibri"/>
          <w:b/>
          <w:bCs/>
          <w:sz w:val="22"/>
          <w:szCs w:val="22"/>
        </w:rPr>
        <w:t xml:space="preserve">Σύνοψη θέσεων και απαντήσεις ΕΕΤΤ </w:t>
      </w:r>
      <w:r w:rsidR="00B202E6" w:rsidRPr="00063071">
        <w:rPr>
          <w:rFonts w:ascii="Calibri" w:hAnsi="Calibri" w:cs="Calibri"/>
          <w:b/>
          <w:bCs/>
          <w:sz w:val="22"/>
          <w:szCs w:val="22"/>
        </w:rPr>
        <w:t>σ</w:t>
      </w:r>
      <w:r w:rsidRPr="00063071">
        <w:rPr>
          <w:rFonts w:ascii="Calibri" w:hAnsi="Calibri" w:cs="Calibri"/>
          <w:b/>
          <w:bCs/>
          <w:sz w:val="22"/>
          <w:szCs w:val="22"/>
        </w:rPr>
        <w:t xml:space="preserve">τη </w:t>
      </w:r>
      <w:r w:rsidR="00E022F0" w:rsidRPr="00063071">
        <w:rPr>
          <w:rFonts w:ascii="Calibri" w:hAnsi="Calibri" w:cs="Calibri"/>
          <w:b/>
          <w:bCs/>
          <w:sz w:val="22"/>
          <w:szCs w:val="22"/>
        </w:rPr>
        <w:t xml:space="preserve">Δημόσια Διαβούλευση της ΕΕΤΤ επί </w:t>
      </w:r>
      <w:r w:rsidR="00B202E6" w:rsidRPr="00063071">
        <w:rPr>
          <w:rFonts w:ascii="Calibri" w:hAnsi="Calibri" w:cs="Calibri"/>
          <w:b/>
          <w:bCs/>
          <w:sz w:val="22"/>
          <w:szCs w:val="22"/>
        </w:rPr>
        <w:t>του κοστολογικού μοντέλου NGA Bottom-up μοντέλου LRIC+ με βάση το τρέχον κόστος AΠ ΕΕΤΤ 937/03/18.5.2020 (ΦΕΚ 2039/Β/30.5.2020) και επί του επικαιροποιημένου Bottom-up μοντέλου τιμών των προϊόντων των αγορών μισθωμένων γραμμών χονδρικής, σύμφωνα με την ΑΠ ΕΕΤΤ 934/03/27.04.2020 (Β’ 1833)</w:t>
      </w:r>
    </w:p>
    <w:p w14:paraId="70B8006C" w14:textId="77777777" w:rsidR="004C475A" w:rsidRPr="00063071" w:rsidRDefault="004C475A" w:rsidP="00B202E6">
      <w:pPr>
        <w:autoSpaceDE w:val="0"/>
        <w:autoSpaceDN w:val="0"/>
        <w:adjustRightInd w:val="0"/>
        <w:spacing w:line="240" w:lineRule="auto"/>
        <w:jc w:val="left"/>
        <w:rPr>
          <w:rFonts w:ascii="Calibri" w:hAnsi="Calibri" w:cs="Calibri"/>
          <w:b/>
          <w:bCs/>
          <w:sz w:val="22"/>
          <w:szCs w:val="22"/>
        </w:rPr>
      </w:pPr>
    </w:p>
    <w:p w14:paraId="5DF521E0" w14:textId="77777777" w:rsidR="004C475A" w:rsidRPr="00063071" w:rsidRDefault="004C475A" w:rsidP="004C475A">
      <w:pPr>
        <w:pStyle w:val="ab"/>
        <w:rPr>
          <w:rFonts w:ascii="Calibri" w:hAnsi="Calibri" w:cs="Calibri"/>
          <w:i/>
          <w:iCs/>
          <w:sz w:val="22"/>
          <w:szCs w:val="22"/>
          <w:lang w:val="x-none"/>
        </w:rPr>
      </w:pPr>
    </w:p>
    <w:p w14:paraId="202164EB" w14:textId="77777777" w:rsidR="004C475A" w:rsidRPr="00063071" w:rsidRDefault="004C475A" w:rsidP="004C475A">
      <w:pPr>
        <w:pStyle w:val="ab"/>
        <w:rPr>
          <w:rFonts w:ascii="Calibri" w:hAnsi="Calibri" w:cs="Calibri"/>
          <w:i/>
          <w:iCs/>
          <w:sz w:val="22"/>
          <w:szCs w:val="22"/>
          <w:lang w:val="x-none"/>
        </w:rPr>
      </w:pPr>
    </w:p>
    <w:p w14:paraId="3C295D58" w14:textId="77777777" w:rsidR="004C475A" w:rsidRPr="00063071" w:rsidRDefault="004C475A" w:rsidP="004C475A">
      <w:pPr>
        <w:pStyle w:val="ab"/>
        <w:rPr>
          <w:rFonts w:ascii="Calibri" w:hAnsi="Calibri" w:cs="Calibri"/>
          <w:i/>
          <w:iCs/>
          <w:sz w:val="22"/>
          <w:szCs w:val="22"/>
          <w:lang w:val="x-none"/>
        </w:rPr>
      </w:pPr>
    </w:p>
    <w:p w14:paraId="19EEC7DF" w14:textId="77777777" w:rsidR="004C475A" w:rsidRPr="00063071" w:rsidRDefault="004C475A" w:rsidP="004C475A">
      <w:pPr>
        <w:pStyle w:val="ab"/>
        <w:rPr>
          <w:rFonts w:ascii="Calibri" w:hAnsi="Calibri" w:cs="Calibri"/>
          <w:i/>
          <w:iCs/>
          <w:sz w:val="22"/>
          <w:szCs w:val="22"/>
          <w:lang w:val="x-none"/>
        </w:rPr>
      </w:pPr>
    </w:p>
    <w:p w14:paraId="787673C0" w14:textId="77777777" w:rsidR="004C475A" w:rsidRPr="00063071" w:rsidRDefault="004C475A" w:rsidP="004C475A">
      <w:pPr>
        <w:pStyle w:val="ab"/>
        <w:rPr>
          <w:rFonts w:ascii="Calibri" w:hAnsi="Calibri" w:cs="Calibri"/>
          <w:i/>
          <w:iCs/>
          <w:sz w:val="22"/>
          <w:szCs w:val="22"/>
          <w:lang w:val="x-none"/>
        </w:rPr>
      </w:pPr>
    </w:p>
    <w:p w14:paraId="7343805D" w14:textId="77777777" w:rsidR="004C475A" w:rsidRPr="00063071" w:rsidRDefault="004C475A" w:rsidP="004C475A">
      <w:pPr>
        <w:pStyle w:val="ab"/>
        <w:rPr>
          <w:rFonts w:ascii="Calibri" w:hAnsi="Calibri" w:cs="Calibri"/>
          <w:i/>
          <w:iCs/>
          <w:sz w:val="22"/>
          <w:szCs w:val="22"/>
          <w:lang w:val="x-none"/>
        </w:rPr>
      </w:pPr>
    </w:p>
    <w:p w14:paraId="7FA0541C" w14:textId="77777777" w:rsidR="004C475A" w:rsidRPr="00063071" w:rsidRDefault="004C475A" w:rsidP="004C475A">
      <w:pPr>
        <w:pStyle w:val="ab"/>
        <w:rPr>
          <w:rFonts w:ascii="Calibri" w:hAnsi="Calibri" w:cs="Calibri"/>
          <w:i/>
          <w:iCs/>
          <w:sz w:val="22"/>
          <w:szCs w:val="22"/>
          <w:lang w:val="x-none"/>
        </w:rPr>
      </w:pPr>
    </w:p>
    <w:p w14:paraId="44C7BEC4" w14:textId="1F1165B4" w:rsidR="004C475A" w:rsidRPr="00063071" w:rsidRDefault="004C475A" w:rsidP="00111240">
      <w:pPr>
        <w:tabs>
          <w:tab w:val="left" w:pos="540"/>
        </w:tabs>
        <w:overflowPunct w:val="0"/>
        <w:autoSpaceDE w:val="0"/>
        <w:jc w:val="left"/>
        <w:textAlignment w:val="baseline"/>
        <w:rPr>
          <w:rFonts w:ascii="Calibri" w:hAnsi="Calibri" w:cs="Calibri"/>
          <w:sz w:val="22"/>
          <w:szCs w:val="22"/>
        </w:rPr>
      </w:pPr>
      <w:r w:rsidRPr="00063071">
        <w:rPr>
          <w:rFonts w:ascii="Calibri" w:hAnsi="Calibri" w:cs="Calibri"/>
          <w:sz w:val="22"/>
          <w:szCs w:val="22"/>
        </w:rPr>
        <w:t xml:space="preserve">Μαρούσι, </w:t>
      </w:r>
      <w:r w:rsidR="00A17AB9">
        <w:rPr>
          <w:rFonts w:ascii="Calibri" w:hAnsi="Calibri" w:cs="Calibri"/>
          <w:sz w:val="22"/>
          <w:szCs w:val="22"/>
        </w:rPr>
        <w:t>Φεβρουάριος</w:t>
      </w:r>
      <w:r w:rsidRPr="00063071">
        <w:rPr>
          <w:rFonts w:ascii="Calibri" w:hAnsi="Calibri" w:cs="Calibri"/>
          <w:sz w:val="22"/>
          <w:szCs w:val="22"/>
        </w:rPr>
        <w:t xml:space="preserve"> </w:t>
      </w:r>
      <w:r w:rsidR="00A17AB9">
        <w:rPr>
          <w:rFonts w:ascii="Calibri" w:hAnsi="Calibri" w:cs="Calibri"/>
          <w:sz w:val="22"/>
          <w:szCs w:val="22"/>
        </w:rPr>
        <w:t>2026</w:t>
      </w:r>
      <w:r w:rsidRPr="00063071">
        <w:rPr>
          <w:rFonts w:ascii="Calibri" w:hAnsi="Calibri" w:cs="Calibri"/>
          <w:sz w:val="22"/>
          <w:szCs w:val="22"/>
        </w:rPr>
        <w:br/>
        <w:t>Εθνική Επιτροπή Τηλεπικοινωνιών και Ταχυδρομείων (ΕΕΤΤ)</w:t>
      </w:r>
    </w:p>
    <w:p w14:paraId="3DEE4423" w14:textId="77777777" w:rsidR="004C475A" w:rsidRPr="00063071" w:rsidRDefault="004C475A" w:rsidP="004C475A">
      <w:pPr>
        <w:tabs>
          <w:tab w:val="left" w:pos="540"/>
        </w:tabs>
        <w:overflowPunct w:val="0"/>
        <w:autoSpaceDE w:val="0"/>
        <w:textAlignment w:val="baseline"/>
        <w:rPr>
          <w:rFonts w:ascii="Calibri" w:hAnsi="Calibri" w:cs="Calibri"/>
          <w:sz w:val="22"/>
          <w:szCs w:val="22"/>
        </w:rPr>
        <w:sectPr w:rsidR="004C475A" w:rsidRPr="00063071" w:rsidSect="00A52B29">
          <w:headerReference w:type="default" r:id="rId8"/>
          <w:footerReference w:type="default" r:id="rId9"/>
          <w:headerReference w:type="first" r:id="rId10"/>
          <w:footerReference w:type="first" r:id="rId11"/>
          <w:pgSz w:w="11906" w:h="16838"/>
          <w:pgMar w:top="1440" w:right="1797" w:bottom="1440" w:left="1797" w:header="709" w:footer="709" w:gutter="0"/>
          <w:cols w:space="720"/>
          <w:vAlign w:val="both"/>
          <w:titlePg/>
          <w:docGrid w:linePitch="360"/>
        </w:sectPr>
      </w:pPr>
    </w:p>
    <w:p w14:paraId="2B3ACA72" w14:textId="77777777" w:rsidR="004C475A" w:rsidRPr="00063071" w:rsidRDefault="004C475A" w:rsidP="004C475A">
      <w:pPr>
        <w:pStyle w:val="1"/>
        <w:spacing w:line="360" w:lineRule="auto"/>
        <w:ind w:left="0" w:firstLine="0"/>
        <w:jc w:val="both"/>
        <w:rPr>
          <w:rFonts w:ascii="Calibri" w:hAnsi="Calibri" w:cs="Calibri"/>
          <w:sz w:val="22"/>
          <w:szCs w:val="22"/>
        </w:rPr>
      </w:pPr>
      <w:bookmarkStart w:id="0" w:name="_Toc183177997"/>
    </w:p>
    <w:p w14:paraId="78B8D1DF" w14:textId="09754CFD" w:rsidR="004C475A" w:rsidRPr="00063071" w:rsidRDefault="004C475A" w:rsidP="004C475A">
      <w:pPr>
        <w:pStyle w:val="1"/>
        <w:spacing w:line="360" w:lineRule="auto"/>
        <w:ind w:left="0" w:firstLine="0"/>
        <w:jc w:val="both"/>
        <w:rPr>
          <w:rFonts w:ascii="Calibri" w:hAnsi="Calibri" w:cs="Calibri"/>
          <w:sz w:val="22"/>
          <w:szCs w:val="22"/>
        </w:rPr>
      </w:pPr>
      <w:r w:rsidRPr="00063071">
        <w:rPr>
          <w:rFonts w:ascii="Calibri" w:hAnsi="Calibri" w:cs="Calibri"/>
          <w:sz w:val="22"/>
          <w:szCs w:val="22"/>
        </w:rPr>
        <w:t>Εισαγωγή</w:t>
      </w:r>
      <w:bookmarkEnd w:id="0"/>
    </w:p>
    <w:p w14:paraId="74173AA8" w14:textId="77777777" w:rsidR="004C475A" w:rsidRPr="00063071" w:rsidRDefault="004C475A" w:rsidP="004C475A">
      <w:pPr>
        <w:rPr>
          <w:rFonts w:ascii="Calibri" w:hAnsi="Calibri" w:cs="Calibri"/>
          <w:sz w:val="22"/>
          <w:szCs w:val="22"/>
        </w:rPr>
      </w:pPr>
    </w:p>
    <w:p w14:paraId="7EB81F64" w14:textId="50530017" w:rsidR="00E022F0" w:rsidRPr="00063071" w:rsidRDefault="004C475A" w:rsidP="00E022F0">
      <w:pPr>
        <w:rPr>
          <w:rFonts w:ascii="Calibri" w:hAnsi="Calibri" w:cs="Calibri"/>
          <w:sz w:val="22"/>
          <w:szCs w:val="22"/>
        </w:rPr>
      </w:pPr>
      <w:r w:rsidRPr="00063071">
        <w:rPr>
          <w:rFonts w:ascii="Calibri" w:hAnsi="Calibri" w:cs="Calibri"/>
          <w:sz w:val="22"/>
          <w:szCs w:val="22"/>
        </w:rPr>
        <w:t xml:space="preserve">Το παρόν κείμενο περιλαμβάνει την αποδελτίωση των υποβληθέντων σχολίων και τις απαντήσεις της ΕΕΤΤ στο πλαίσιο της Δημόσιας Διαβούλευσης </w:t>
      </w:r>
      <w:r w:rsidR="00E022F0" w:rsidRPr="00063071">
        <w:rPr>
          <w:rFonts w:ascii="Calibri" w:hAnsi="Calibri" w:cs="Calibri"/>
          <w:sz w:val="22"/>
          <w:szCs w:val="22"/>
        </w:rPr>
        <w:t xml:space="preserve">της ΕΕΤΤ επί </w:t>
      </w:r>
      <w:r w:rsidR="00B202E6" w:rsidRPr="00063071">
        <w:rPr>
          <w:rFonts w:ascii="Calibri" w:hAnsi="Calibri" w:cs="Calibri"/>
          <w:sz w:val="22"/>
          <w:szCs w:val="22"/>
        </w:rPr>
        <w:t>του κοστολογικού μοντέλου NGA Bottom-up μοντέλου LRIC+ με βάση το τρέχον κόστος AΠ ΕΕΤΤ 937/03/18.5.2020 (ΦΕΚ 2039/Β/30.5.2020) και επί του επικαιροποιημένου Bottom-up μοντέλου τιμών των προϊόντων των αγορών μισθωμένων γραμμών χονδρικής, σύμφωνα με την ΑΠ ΕΕΤΤ 934/03/27.04.2020 (Β’ 1833)</w:t>
      </w:r>
      <w:r w:rsidR="00E022F0" w:rsidRPr="00063071">
        <w:rPr>
          <w:rFonts w:ascii="Calibri" w:hAnsi="Calibri" w:cs="Calibri"/>
          <w:sz w:val="22"/>
          <w:szCs w:val="22"/>
        </w:rPr>
        <w:t>.</w:t>
      </w:r>
    </w:p>
    <w:p w14:paraId="4E1526AB" w14:textId="1C7944F7" w:rsidR="00E022F0" w:rsidRPr="00063071" w:rsidRDefault="00E022F0" w:rsidP="004C475A">
      <w:pPr>
        <w:rPr>
          <w:rFonts w:ascii="Calibri" w:hAnsi="Calibri" w:cs="Calibri"/>
          <w:sz w:val="22"/>
          <w:szCs w:val="22"/>
          <w:lang w:val="x-none"/>
        </w:rPr>
      </w:pPr>
    </w:p>
    <w:p w14:paraId="333A8499" w14:textId="5FB27C21" w:rsidR="004C475A" w:rsidRPr="00063071" w:rsidRDefault="004C475A" w:rsidP="004C475A">
      <w:pPr>
        <w:rPr>
          <w:rFonts w:ascii="Calibri" w:hAnsi="Calibri" w:cs="Calibri"/>
          <w:sz w:val="22"/>
          <w:szCs w:val="22"/>
        </w:rPr>
      </w:pPr>
      <w:r w:rsidRPr="00063071">
        <w:rPr>
          <w:rFonts w:ascii="Calibri" w:hAnsi="Calibri" w:cs="Calibri"/>
          <w:sz w:val="22"/>
          <w:szCs w:val="22"/>
        </w:rPr>
        <w:t xml:space="preserve">Στη  Δημόσια Διαβούλευση η οποία διεξήχθη από την ΕΕΤΤ στο διάστημα από </w:t>
      </w:r>
      <w:r w:rsidR="00B202E6" w:rsidRPr="00063071">
        <w:rPr>
          <w:rFonts w:ascii="Calibri" w:hAnsi="Calibri" w:cs="Calibri"/>
          <w:sz w:val="22"/>
          <w:szCs w:val="22"/>
        </w:rPr>
        <w:t>15</w:t>
      </w:r>
      <w:r w:rsidR="00E022F0" w:rsidRPr="00063071">
        <w:rPr>
          <w:rFonts w:ascii="Calibri" w:hAnsi="Calibri" w:cs="Calibri"/>
          <w:sz w:val="22"/>
          <w:szCs w:val="22"/>
        </w:rPr>
        <w:t>.</w:t>
      </w:r>
      <w:r w:rsidR="00B202E6" w:rsidRPr="00063071">
        <w:rPr>
          <w:rFonts w:ascii="Calibri" w:hAnsi="Calibri" w:cs="Calibri"/>
          <w:sz w:val="22"/>
          <w:szCs w:val="22"/>
        </w:rPr>
        <w:t>07</w:t>
      </w:r>
      <w:r w:rsidR="00E022F0" w:rsidRPr="00063071">
        <w:rPr>
          <w:rFonts w:ascii="Calibri" w:hAnsi="Calibri" w:cs="Calibri"/>
          <w:sz w:val="22"/>
          <w:szCs w:val="22"/>
        </w:rPr>
        <w:t>.2025</w:t>
      </w:r>
      <w:r w:rsidRPr="00063071">
        <w:rPr>
          <w:rFonts w:ascii="Calibri" w:hAnsi="Calibri" w:cs="Calibri"/>
          <w:sz w:val="22"/>
          <w:szCs w:val="22"/>
        </w:rPr>
        <w:t xml:space="preserve"> έως </w:t>
      </w:r>
      <w:r w:rsidR="00B202E6" w:rsidRPr="00063071">
        <w:rPr>
          <w:rFonts w:ascii="Calibri" w:hAnsi="Calibri" w:cs="Calibri"/>
          <w:sz w:val="22"/>
          <w:szCs w:val="22"/>
        </w:rPr>
        <w:t>13</w:t>
      </w:r>
      <w:r w:rsidR="00E022F0" w:rsidRPr="00063071">
        <w:rPr>
          <w:rFonts w:ascii="Calibri" w:hAnsi="Calibri" w:cs="Calibri"/>
          <w:sz w:val="22"/>
          <w:szCs w:val="22"/>
        </w:rPr>
        <w:t>.</w:t>
      </w:r>
      <w:r w:rsidR="00B202E6" w:rsidRPr="00063071">
        <w:rPr>
          <w:rFonts w:ascii="Calibri" w:hAnsi="Calibri" w:cs="Calibri"/>
          <w:sz w:val="22"/>
          <w:szCs w:val="22"/>
        </w:rPr>
        <w:t>10</w:t>
      </w:r>
      <w:r w:rsidR="00E022F0" w:rsidRPr="00063071">
        <w:rPr>
          <w:rFonts w:ascii="Calibri" w:hAnsi="Calibri" w:cs="Calibri"/>
          <w:sz w:val="22"/>
          <w:szCs w:val="22"/>
        </w:rPr>
        <w:t>.2025</w:t>
      </w:r>
      <w:r w:rsidRPr="00063071">
        <w:rPr>
          <w:rFonts w:ascii="Calibri" w:hAnsi="Calibri" w:cs="Calibri"/>
          <w:sz w:val="22"/>
          <w:szCs w:val="22"/>
        </w:rPr>
        <w:t>,  ελήφθησαν απαντήσεις από τις κάτωθι εταιρείες:</w:t>
      </w:r>
    </w:p>
    <w:p w14:paraId="2908D069" w14:textId="77777777" w:rsidR="00E94672" w:rsidRPr="00063071" w:rsidRDefault="00E94672" w:rsidP="00E94672">
      <w:pPr>
        <w:pStyle w:val="af2"/>
        <w:numPr>
          <w:ilvl w:val="0"/>
          <w:numId w:val="5"/>
        </w:numPr>
        <w:spacing w:after="160" w:line="259" w:lineRule="auto"/>
        <w:rPr>
          <w:rFonts w:cs="Calibri"/>
          <w:lang w:val="en-US"/>
        </w:rPr>
      </w:pPr>
      <w:r w:rsidRPr="00063071">
        <w:rPr>
          <w:rFonts w:cs="Calibri"/>
          <w:lang w:val="en-US"/>
        </w:rPr>
        <w:t xml:space="preserve">FIBERGRID </w:t>
      </w:r>
      <w:r w:rsidRPr="00063071">
        <w:rPr>
          <w:rFonts w:cs="Calibri"/>
        </w:rPr>
        <w:t xml:space="preserve">Α.Ε. </w:t>
      </w:r>
    </w:p>
    <w:p w14:paraId="73BD3533" w14:textId="051A0581" w:rsidR="00E022F0" w:rsidRPr="00063071" w:rsidRDefault="00E022F0" w:rsidP="00434984">
      <w:pPr>
        <w:pStyle w:val="af2"/>
        <w:numPr>
          <w:ilvl w:val="0"/>
          <w:numId w:val="5"/>
        </w:numPr>
        <w:spacing w:after="160" w:line="259" w:lineRule="auto"/>
        <w:rPr>
          <w:rFonts w:cs="Calibri"/>
        </w:rPr>
      </w:pPr>
      <w:r w:rsidRPr="00063071">
        <w:rPr>
          <w:rFonts w:cs="Calibri"/>
        </w:rPr>
        <w:t>ΟΤΕ Α.Ε.</w:t>
      </w:r>
    </w:p>
    <w:p w14:paraId="53934A5C" w14:textId="4240CCD6" w:rsidR="00E022F0" w:rsidRPr="00063071" w:rsidRDefault="00E022F0" w:rsidP="00434984">
      <w:pPr>
        <w:pStyle w:val="af2"/>
        <w:numPr>
          <w:ilvl w:val="0"/>
          <w:numId w:val="5"/>
        </w:numPr>
        <w:spacing w:after="160" w:line="259" w:lineRule="auto"/>
        <w:rPr>
          <w:rFonts w:cs="Calibri"/>
        </w:rPr>
      </w:pPr>
      <w:r w:rsidRPr="00063071">
        <w:rPr>
          <w:rFonts w:cs="Calibri"/>
          <w:lang w:val="en-US"/>
        </w:rPr>
        <w:t xml:space="preserve">FIBER2ALL </w:t>
      </w:r>
      <w:r w:rsidRPr="00063071">
        <w:rPr>
          <w:rFonts w:cs="Calibri"/>
        </w:rPr>
        <w:t>Α.Ε.</w:t>
      </w:r>
    </w:p>
    <w:p w14:paraId="45C63F0D" w14:textId="1D5150BE" w:rsidR="004C475A" w:rsidRPr="00063071" w:rsidRDefault="004C475A" w:rsidP="00434984">
      <w:pPr>
        <w:pStyle w:val="af2"/>
        <w:numPr>
          <w:ilvl w:val="0"/>
          <w:numId w:val="5"/>
        </w:numPr>
        <w:spacing w:after="160" w:line="259" w:lineRule="auto"/>
        <w:rPr>
          <w:rFonts w:cs="Calibri"/>
          <w:lang w:val="en-US"/>
        </w:rPr>
      </w:pPr>
      <w:r w:rsidRPr="00063071">
        <w:rPr>
          <w:rFonts w:cs="Calibri"/>
          <w:lang w:val="en-US"/>
        </w:rPr>
        <w:t>VODAFONE-ΠΑΝΑΦΟΝ ΑΕΕΤ</w:t>
      </w:r>
    </w:p>
    <w:p w14:paraId="616DADC3" w14:textId="0C23924A" w:rsidR="004C475A" w:rsidRPr="00063071" w:rsidRDefault="004C475A" w:rsidP="00434984">
      <w:pPr>
        <w:pStyle w:val="af2"/>
        <w:numPr>
          <w:ilvl w:val="0"/>
          <w:numId w:val="5"/>
        </w:numPr>
        <w:spacing w:after="160" w:line="259" w:lineRule="auto"/>
        <w:rPr>
          <w:rFonts w:cs="Calibri"/>
        </w:rPr>
      </w:pPr>
      <w:bookmarkStart w:id="1" w:name="_GoBack"/>
      <w:r w:rsidRPr="00063071">
        <w:rPr>
          <w:rFonts w:cs="Calibri"/>
          <w:lang w:val="en-US"/>
        </w:rPr>
        <w:t>NOVA</w:t>
      </w:r>
      <w:bookmarkEnd w:id="1"/>
      <w:r w:rsidRPr="00063071">
        <w:rPr>
          <w:rFonts w:cs="Calibri"/>
        </w:rPr>
        <w:t xml:space="preserve"> Τηλεπικοινωνίες Μ.Α.Ε.</w:t>
      </w:r>
    </w:p>
    <w:p w14:paraId="47AFFC17" w14:textId="77777777" w:rsidR="004C475A" w:rsidRPr="00063071" w:rsidRDefault="004C475A" w:rsidP="004C475A">
      <w:pPr>
        <w:pStyle w:val="af2"/>
        <w:rPr>
          <w:rFonts w:cs="Calibri"/>
        </w:rPr>
      </w:pPr>
    </w:p>
    <w:p w14:paraId="676F6267" w14:textId="77777777" w:rsidR="004C475A" w:rsidRPr="00063071" w:rsidRDefault="004C475A" w:rsidP="00434984">
      <w:pPr>
        <w:pStyle w:val="1"/>
        <w:keepLines/>
        <w:numPr>
          <w:ilvl w:val="0"/>
          <w:numId w:val="4"/>
        </w:numPr>
        <w:spacing w:before="240" w:line="259" w:lineRule="auto"/>
        <w:jc w:val="both"/>
        <w:rPr>
          <w:rFonts w:ascii="Calibri" w:hAnsi="Calibri" w:cs="Calibri"/>
          <w:b w:val="0"/>
          <w:sz w:val="22"/>
          <w:szCs w:val="22"/>
        </w:rPr>
      </w:pPr>
      <w:r w:rsidRPr="00063071">
        <w:rPr>
          <w:rFonts w:ascii="Calibri" w:hAnsi="Calibri" w:cs="Calibri"/>
          <w:sz w:val="22"/>
          <w:szCs w:val="22"/>
        </w:rPr>
        <w:t>ΓΕΝΙΚΕΣ ΠΑΡΑΤΗΡΗΣΕΙΣ</w:t>
      </w:r>
    </w:p>
    <w:p w14:paraId="371EF790" w14:textId="77777777" w:rsidR="004C475A" w:rsidRPr="00063071" w:rsidRDefault="004C475A" w:rsidP="004C475A">
      <w:pPr>
        <w:rPr>
          <w:rFonts w:ascii="Calibri" w:hAnsi="Calibri" w:cs="Calibri"/>
          <w:sz w:val="22"/>
          <w:szCs w:val="22"/>
        </w:rPr>
      </w:pPr>
    </w:p>
    <w:p w14:paraId="6280D7CE" w14:textId="77777777" w:rsidR="002D3133" w:rsidRPr="00063071" w:rsidRDefault="002D3133" w:rsidP="00E022F0">
      <w:pPr>
        <w:pStyle w:val="Default"/>
        <w:rPr>
          <w:rFonts w:ascii="Calibri" w:hAnsi="Calibri" w:cs="Calibri"/>
          <w:sz w:val="22"/>
          <w:szCs w:val="22"/>
        </w:rPr>
      </w:pPr>
    </w:p>
    <w:p w14:paraId="7F445D7E" w14:textId="5E6F71AA" w:rsidR="00EA4377" w:rsidRPr="00EA4377" w:rsidRDefault="00B4728C" w:rsidP="00E022F0">
      <w:pPr>
        <w:pStyle w:val="Default"/>
        <w:rPr>
          <w:rFonts w:ascii="Calibri" w:hAnsi="Calibri" w:cs="Calibri"/>
          <w:sz w:val="23"/>
          <w:szCs w:val="23"/>
        </w:rPr>
      </w:pPr>
      <w:r w:rsidRPr="00063071">
        <w:rPr>
          <w:rFonts w:ascii="Calibri" w:hAnsi="Calibri" w:cs="Calibri"/>
          <w:sz w:val="22"/>
          <w:szCs w:val="22"/>
        </w:rPr>
        <w:t xml:space="preserve">Ένας συμμετέχων </w:t>
      </w:r>
      <w:r w:rsidR="003C28FC">
        <w:rPr>
          <w:rFonts w:ascii="Calibri" w:hAnsi="Calibri" w:cs="Calibri"/>
          <w:sz w:val="22"/>
          <w:szCs w:val="22"/>
        </w:rPr>
        <w:t>(----)</w:t>
      </w:r>
      <w:r w:rsidRPr="00063071">
        <w:rPr>
          <w:rFonts w:ascii="Calibri" w:hAnsi="Calibri" w:cs="Calibri"/>
          <w:sz w:val="22"/>
          <w:szCs w:val="22"/>
        </w:rPr>
        <w:t xml:space="preserve"> θεωρεί </w:t>
      </w:r>
      <w:r w:rsidRPr="00B4728C">
        <w:rPr>
          <w:rFonts w:ascii="Calibri" w:hAnsi="Calibri" w:cs="Calibri"/>
          <w:sz w:val="22"/>
          <w:szCs w:val="22"/>
        </w:rPr>
        <w:t>ότι το προτεινόμενο από την ΕΕΤΤ τεχνοοικονομικό μοντέλο BU LRIC+ για τα δίκτυα NGA χρειάζεται εκτεταμένη επικαιροποίηση ώστε να αντανακλά την πραγματική κατάσταση της αγοράς και το νέο επενδυτικό περιβάλλον στην Ελλάδα</w:t>
      </w:r>
      <w:r w:rsidR="00161C65">
        <w:rPr>
          <w:rFonts w:ascii="Calibri" w:hAnsi="Calibri" w:cs="Calibri"/>
          <w:sz w:val="22"/>
          <w:szCs w:val="22"/>
        </w:rPr>
        <w:t xml:space="preserve">, καθώς και ότι οφείλει να αποτυπώνει τη βασική αρχή της </w:t>
      </w:r>
      <w:r w:rsidR="00161C65" w:rsidRPr="00161C65">
        <w:rPr>
          <w:rFonts w:ascii="Calibri" w:hAnsi="Calibri" w:cs="Calibri"/>
          <w:sz w:val="22"/>
          <w:szCs w:val="22"/>
        </w:rPr>
        <w:t>Σύσταση 2013/466/ΕΕ</w:t>
      </w:r>
      <w:r w:rsidR="00161C65">
        <w:rPr>
          <w:rFonts w:ascii="Calibri" w:hAnsi="Calibri" w:cs="Calibri"/>
          <w:sz w:val="22"/>
          <w:szCs w:val="22"/>
        </w:rPr>
        <w:t xml:space="preserve">, </w:t>
      </w:r>
      <w:r w:rsidR="00161C65" w:rsidRPr="00161C65">
        <w:rPr>
          <w:rFonts w:ascii="Calibri" w:hAnsi="Calibri" w:cs="Calibri"/>
          <w:sz w:val="23"/>
          <w:szCs w:val="23"/>
        </w:rPr>
        <w:t>να «αντικατοπτρίζ</w:t>
      </w:r>
      <w:r w:rsidR="00161C65">
        <w:rPr>
          <w:rFonts w:ascii="Calibri" w:hAnsi="Calibri" w:cs="Calibri"/>
          <w:sz w:val="23"/>
          <w:szCs w:val="23"/>
        </w:rPr>
        <w:t>ει</w:t>
      </w:r>
      <w:r w:rsidR="00161C65" w:rsidRPr="00161C65">
        <w:rPr>
          <w:rFonts w:ascii="Calibri" w:hAnsi="Calibri" w:cs="Calibri"/>
          <w:sz w:val="23"/>
          <w:szCs w:val="23"/>
        </w:rPr>
        <w:t xml:space="preserve"> το κόστος ενός αποδοτικού παρόχου και να αποτρέπ</w:t>
      </w:r>
      <w:r w:rsidR="00161C65">
        <w:rPr>
          <w:rFonts w:ascii="Calibri" w:hAnsi="Calibri" w:cs="Calibri"/>
          <w:sz w:val="23"/>
          <w:szCs w:val="23"/>
        </w:rPr>
        <w:t>ει</w:t>
      </w:r>
      <w:r w:rsidR="00161C65" w:rsidRPr="00161C65">
        <w:rPr>
          <w:rFonts w:ascii="Calibri" w:hAnsi="Calibri" w:cs="Calibri"/>
          <w:sz w:val="23"/>
          <w:szCs w:val="23"/>
        </w:rPr>
        <w:t xml:space="preserve"> την τεχνητή διατήρηση μη αποδοτικών τεχνολογιών</w:t>
      </w:r>
      <w:r w:rsidR="00161C65">
        <w:rPr>
          <w:rFonts w:ascii="Calibri" w:hAnsi="Calibri" w:cs="Calibri"/>
          <w:sz w:val="23"/>
          <w:szCs w:val="23"/>
        </w:rPr>
        <w:t>, ε</w:t>
      </w:r>
      <w:r w:rsidR="00161C65" w:rsidRPr="00161C65">
        <w:rPr>
          <w:rFonts w:ascii="Calibri" w:hAnsi="Calibri" w:cs="Calibri"/>
          <w:sz w:val="23"/>
          <w:szCs w:val="23"/>
        </w:rPr>
        <w:t>ξασφαλίζο</w:t>
      </w:r>
      <w:r w:rsidR="00161C65">
        <w:rPr>
          <w:rFonts w:ascii="Calibri" w:hAnsi="Calibri" w:cs="Calibri"/>
          <w:sz w:val="23"/>
          <w:szCs w:val="23"/>
        </w:rPr>
        <w:t>ντας</w:t>
      </w:r>
      <w:r w:rsidR="00161C65" w:rsidRPr="00161C65">
        <w:rPr>
          <w:rFonts w:ascii="Calibri" w:hAnsi="Calibri" w:cs="Calibri"/>
          <w:sz w:val="23"/>
          <w:szCs w:val="23"/>
        </w:rPr>
        <w:t xml:space="preserve"> την ομαλή μετάβαση από τα δίκτυα χαλκού στα δίκτυα </w:t>
      </w:r>
      <w:r w:rsidR="00161C65" w:rsidRPr="00161C65">
        <w:rPr>
          <w:rFonts w:ascii="Calibri" w:hAnsi="Calibri" w:cs="Calibri"/>
          <w:b/>
          <w:bCs/>
          <w:sz w:val="23"/>
          <w:szCs w:val="23"/>
        </w:rPr>
        <w:t xml:space="preserve">FTTH </w:t>
      </w:r>
      <w:r w:rsidR="00161C65" w:rsidRPr="00161C65">
        <w:rPr>
          <w:rFonts w:ascii="Calibri" w:hAnsi="Calibri" w:cs="Calibri"/>
          <w:sz w:val="23"/>
          <w:szCs w:val="23"/>
        </w:rPr>
        <w:t xml:space="preserve">και παράλληλα </w:t>
      </w:r>
      <w:r w:rsidR="00161C65">
        <w:rPr>
          <w:rFonts w:ascii="Calibri" w:hAnsi="Calibri" w:cs="Calibri"/>
          <w:sz w:val="23"/>
          <w:szCs w:val="23"/>
        </w:rPr>
        <w:t xml:space="preserve">ενθαρρύνοντας </w:t>
      </w:r>
      <w:r w:rsidR="00161C65" w:rsidRPr="00161C65">
        <w:rPr>
          <w:rFonts w:ascii="Calibri" w:hAnsi="Calibri" w:cs="Calibri"/>
          <w:sz w:val="23"/>
          <w:szCs w:val="23"/>
        </w:rPr>
        <w:t>τις αναγκαίες επενδύσεις</w:t>
      </w:r>
      <w:r w:rsidR="00161C65">
        <w:rPr>
          <w:rFonts w:ascii="Calibri" w:hAnsi="Calibri" w:cs="Calibri"/>
          <w:sz w:val="23"/>
          <w:szCs w:val="23"/>
        </w:rPr>
        <w:t>.</w:t>
      </w:r>
      <w:r w:rsidR="00161C65" w:rsidRPr="00161C65">
        <w:rPr>
          <w:rFonts w:ascii="Calibri" w:hAnsi="Calibri" w:cs="Calibri"/>
          <w:sz w:val="23"/>
          <w:szCs w:val="23"/>
        </w:rPr>
        <w:t xml:space="preserve"> </w:t>
      </w:r>
      <w:r w:rsidR="00EA4377">
        <w:rPr>
          <w:rFonts w:ascii="Calibri" w:hAnsi="Calibri" w:cs="Calibri"/>
          <w:sz w:val="23"/>
          <w:szCs w:val="23"/>
        </w:rPr>
        <w:t xml:space="preserve">Στο πλαίσιο αυτό προτείνει την αναθεώρηση συγκεκριμένων παραδοχών του μοντέλου, όπως μεγαλύτερη διαχρονική μείωση των συνδρομητών σταθερής, ταχύτερη μείωση του μεριδίου του αποδοτικού παρόχου </w:t>
      </w:r>
      <w:r w:rsidR="00EA4377">
        <w:rPr>
          <w:rFonts w:ascii="Calibri" w:hAnsi="Calibri" w:cs="Calibri"/>
          <w:sz w:val="23"/>
          <w:szCs w:val="23"/>
          <w:lang w:val="en-US"/>
        </w:rPr>
        <w:t>FTTH</w:t>
      </w:r>
      <w:r w:rsidR="00EA4377">
        <w:rPr>
          <w:rFonts w:ascii="Calibri" w:hAnsi="Calibri" w:cs="Calibri"/>
          <w:sz w:val="23"/>
          <w:szCs w:val="23"/>
        </w:rPr>
        <w:t xml:space="preserve">, το πραγματικό </w:t>
      </w:r>
      <w:r w:rsidR="00EA4377" w:rsidRPr="00EA4377">
        <w:rPr>
          <w:rFonts w:ascii="Calibri" w:hAnsi="Calibri" w:cs="Calibri"/>
          <w:sz w:val="23"/>
          <w:szCs w:val="23"/>
        </w:rPr>
        <w:t>(</w:t>
      </w:r>
      <w:r w:rsidR="00EA4377">
        <w:rPr>
          <w:rFonts w:ascii="Calibri" w:hAnsi="Calibri" w:cs="Calibri"/>
          <w:sz w:val="23"/>
          <w:szCs w:val="23"/>
          <w:lang w:val="en-US"/>
        </w:rPr>
        <w:t>effective</w:t>
      </w:r>
      <w:r w:rsidR="00EA4377" w:rsidRPr="00EA4377">
        <w:rPr>
          <w:rFonts w:ascii="Calibri" w:hAnsi="Calibri" w:cs="Calibri"/>
          <w:sz w:val="23"/>
          <w:szCs w:val="23"/>
        </w:rPr>
        <w:t>)</w:t>
      </w:r>
      <w:r w:rsidR="00EA4377">
        <w:rPr>
          <w:rFonts w:ascii="Calibri" w:hAnsi="Calibri" w:cs="Calibri"/>
          <w:sz w:val="23"/>
          <w:szCs w:val="23"/>
        </w:rPr>
        <w:t xml:space="preserve"> </w:t>
      </w:r>
      <w:r w:rsidR="00EA4377">
        <w:rPr>
          <w:rFonts w:ascii="Calibri" w:hAnsi="Calibri" w:cs="Calibri"/>
          <w:sz w:val="23"/>
          <w:szCs w:val="23"/>
          <w:lang w:val="en-US"/>
        </w:rPr>
        <w:t>splitting</w:t>
      </w:r>
      <w:r w:rsidR="00EA4377" w:rsidRPr="00EA4377">
        <w:rPr>
          <w:rFonts w:ascii="Calibri" w:hAnsi="Calibri" w:cs="Calibri"/>
          <w:sz w:val="23"/>
          <w:szCs w:val="23"/>
        </w:rPr>
        <w:t xml:space="preserve"> </w:t>
      </w:r>
      <w:r w:rsidR="00EA4377">
        <w:rPr>
          <w:rFonts w:ascii="Calibri" w:hAnsi="Calibri" w:cs="Calibri"/>
          <w:sz w:val="23"/>
          <w:szCs w:val="23"/>
          <w:lang w:val="en-US"/>
        </w:rPr>
        <w:t>ratio</w:t>
      </w:r>
      <w:r w:rsidR="00EA4377" w:rsidRPr="00EA4377">
        <w:rPr>
          <w:rFonts w:ascii="Calibri" w:hAnsi="Calibri" w:cs="Calibri"/>
          <w:sz w:val="23"/>
          <w:szCs w:val="23"/>
        </w:rPr>
        <w:t xml:space="preserve"> </w:t>
      </w:r>
      <w:r w:rsidR="00EA4377">
        <w:rPr>
          <w:rFonts w:ascii="Calibri" w:hAnsi="Calibri" w:cs="Calibri"/>
          <w:sz w:val="23"/>
          <w:szCs w:val="23"/>
        </w:rPr>
        <w:t xml:space="preserve">από 1:64 σε τουλάχιστον 1:32, αναθεώρηση του πλήθους κτιρίων συνδεδεμένων στο δίκτυο, αναθεώρηση του κόστους </w:t>
      </w:r>
      <w:r w:rsidR="00EA4377">
        <w:rPr>
          <w:rFonts w:ascii="Calibri" w:hAnsi="Calibri" w:cs="Calibri"/>
          <w:sz w:val="23"/>
          <w:szCs w:val="23"/>
          <w:lang w:val="en-US"/>
        </w:rPr>
        <w:t>floor</w:t>
      </w:r>
      <w:r w:rsidR="00EA4377" w:rsidRPr="00EA4377">
        <w:rPr>
          <w:rFonts w:ascii="Calibri" w:hAnsi="Calibri" w:cs="Calibri"/>
          <w:sz w:val="23"/>
          <w:szCs w:val="23"/>
        </w:rPr>
        <w:t xml:space="preserve"> </w:t>
      </w:r>
      <w:r w:rsidR="00EA4377">
        <w:rPr>
          <w:rFonts w:ascii="Calibri" w:hAnsi="Calibri" w:cs="Calibri"/>
          <w:sz w:val="23"/>
          <w:szCs w:val="23"/>
          <w:lang w:val="en-US"/>
        </w:rPr>
        <w:t>box</w:t>
      </w:r>
      <w:r w:rsidR="00EA4377" w:rsidRPr="00EA4377">
        <w:rPr>
          <w:rFonts w:ascii="Calibri" w:hAnsi="Calibri" w:cs="Calibri"/>
          <w:sz w:val="23"/>
          <w:szCs w:val="23"/>
        </w:rPr>
        <w:t xml:space="preserve">, </w:t>
      </w:r>
      <w:r w:rsidR="00EA4377">
        <w:rPr>
          <w:rFonts w:ascii="Calibri" w:hAnsi="Calibri" w:cs="Calibri"/>
          <w:sz w:val="23"/>
          <w:szCs w:val="23"/>
        </w:rPr>
        <w:t xml:space="preserve">των εκπτώσεων στα εφάπαξ κόστη πολλαπλών και μαζικών αιτημάτων, του ύψους του επιτοκίου μηδενικού κινδύνου στον υπολογισμό του </w:t>
      </w:r>
      <w:r w:rsidR="00EA4377">
        <w:rPr>
          <w:rFonts w:ascii="Calibri" w:hAnsi="Calibri" w:cs="Calibri"/>
          <w:sz w:val="23"/>
          <w:szCs w:val="23"/>
          <w:lang w:val="en-US"/>
        </w:rPr>
        <w:t>WACC</w:t>
      </w:r>
      <w:r w:rsidR="00EA4377">
        <w:rPr>
          <w:rFonts w:ascii="Calibri" w:hAnsi="Calibri" w:cs="Calibri"/>
          <w:sz w:val="23"/>
          <w:szCs w:val="23"/>
        </w:rPr>
        <w:t xml:space="preserve">, διάκριση μεταξύ </w:t>
      </w:r>
      <w:r w:rsidR="00EA4377">
        <w:rPr>
          <w:rFonts w:ascii="Calibri" w:hAnsi="Calibri" w:cs="Calibri"/>
          <w:sz w:val="23"/>
          <w:szCs w:val="23"/>
          <w:lang w:val="en-US"/>
        </w:rPr>
        <w:t>overheads</w:t>
      </w:r>
      <w:r w:rsidR="00EA4377" w:rsidRPr="00EA4377">
        <w:rPr>
          <w:rFonts w:ascii="Calibri" w:hAnsi="Calibri" w:cs="Calibri"/>
          <w:sz w:val="23"/>
          <w:szCs w:val="23"/>
        </w:rPr>
        <w:t xml:space="preserve"> &amp; </w:t>
      </w:r>
      <w:r w:rsidR="00EA4377">
        <w:rPr>
          <w:rFonts w:ascii="Calibri" w:hAnsi="Calibri" w:cs="Calibri"/>
          <w:sz w:val="23"/>
          <w:szCs w:val="23"/>
          <w:lang w:val="en-US"/>
        </w:rPr>
        <w:t>indirect</w:t>
      </w:r>
      <w:r w:rsidR="00EA4377" w:rsidRPr="00EA4377">
        <w:rPr>
          <w:rFonts w:ascii="Calibri" w:hAnsi="Calibri" w:cs="Calibri"/>
          <w:sz w:val="23"/>
          <w:szCs w:val="23"/>
        </w:rPr>
        <w:t xml:space="preserve"> </w:t>
      </w:r>
      <w:r w:rsidR="00EA4377">
        <w:rPr>
          <w:rFonts w:ascii="Calibri" w:hAnsi="Calibri" w:cs="Calibri"/>
          <w:sz w:val="23"/>
          <w:szCs w:val="23"/>
          <w:lang w:val="en-US"/>
        </w:rPr>
        <w:t>costs</w:t>
      </w:r>
      <w:r w:rsidR="00EA4377">
        <w:rPr>
          <w:rFonts w:ascii="Calibri" w:hAnsi="Calibri" w:cs="Calibri"/>
          <w:sz w:val="23"/>
          <w:szCs w:val="23"/>
        </w:rPr>
        <w:t xml:space="preserve">, κοστολόγηση υπηρεσίας </w:t>
      </w:r>
      <w:r w:rsidR="00EA4377">
        <w:rPr>
          <w:rFonts w:ascii="Calibri" w:hAnsi="Calibri" w:cs="Calibri"/>
          <w:sz w:val="23"/>
          <w:szCs w:val="23"/>
          <w:lang w:val="en-US"/>
        </w:rPr>
        <w:t>SLU</w:t>
      </w:r>
      <w:r w:rsidR="00EA4377" w:rsidRPr="00EA4377">
        <w:rPr>
          <w:rFonts w:ascii="Calibri" w:hAnsi="Calibri" w:cs="Calibri"/>
          <w:sz w:val="23"/>
          <w:szCs w:val="23"/>
        </w:rPr>
        <w:t>,</w:t>
      </w:r>
      <w:r w:rsidR="00EA4377">
        <w:rPr>
          <w:rFonts w:ascii="Calibri" w:hAnsi="Calibri" w:cs="Calibri"/>
          <w:sz w:val="23"/>
          <w:szCs w:val="23"/>
        </w:rPr>
        <w:t xml:space="preserve"> χρήσης γεωγραφικού μοντέλου. </w:t>
      </w:r>
    </w:p>
    <w:p w14:paraId="7B23D7BD" w14:textId="77777777" w:rsidR="00EA4377" w:rsidRDefault="00EA4377" w:rsidP="00E022F0">
      <w:pPr>
        <w:pStyle w:val="Default"/>
        <w:rPr>
          <w:rFonts w:ascii="Calibri" w:hAnsi="Calibri" w:cs="Calibri"/>
          <w:sz w:val="23"/>
          <w:szCs w:val="23"/>
        </w:rPr>
      </w:pPr>
    </w:p>
    <w:p w14:paraId="5CFE7000" w14:textId="79A23D5A" w:rsidR="002D3133" w:rsidRPr="00063071" w:rsidRDefault="002D3133" w:rsidP="00E022F0">
      <w:pPr>
        <w:pStyle w:val="Default"/>
        <w:rPr>
          <w:rFonts w:ascii="Calibri" w:hAnsi="Calibri" w:cs="Calibri"/>
          <w:sz w:val="22"/>
          <w:szCs w:val="22"/>
        </w:rPr>
      </w:pPr>
      <w:r w:rsidRPr="00063071">
        <w:rPr>
          <w:rFonts w:ascii="Calibri" w:hAnsi="Calibri" w:cs="Calibri"/>
          <w:sz w:val="22"/>
          <w:szCs w:val="22"/>
        </w:rPr>
        <w:t xml:space="preserve">Ένας συμμετέχων </w:t>
      </w:r>
      <w:r w:rsidR="003C28FC">
        <w:rPr>
          <w:rFonts w:ascii="Calibri" w:hAnsi="Calibri" w:cs="Calibri"/>
          <w:sz w:val="22"/>
          <w:szCs w:val="22"/>
        </w:rPr>
        <w:t>(----)</w:t>
      </w:r>
      <w:r w:rsidRPr="00063071">
        <w:rPr>
          <w:rFonts w:ascii="Calibri" w:hAnsi="Calibri" w:cs="Calibri"/>
          <w:sz w:val="22"/>
          <w:szCs w:val="22"/>
        </w:rPr>
        <w:t xml:space="preserve"> θεωρεί ότι το υπάρχον μοντέλο LRIC+ του 2019 δεν αντικατοπτρίζει πλέον την πραγματικότητα της αγοράς NGA και FTTH</w:t>
      </w:r>
      <w:r w:rsidR="002F5784" w:rsidRPr="00063071">
        <w:rPr>
          <w:rFonts w:ascii="Calibri" w:hAnsi="Calibri" w:cs="Calibri"/>
          <w:sz w:val="22"/>
          <w:szCs w:val="22"/>
        </w:rPr>
        <w:t xml:space="preserve">, ενώ θα πρέπει να αποτυπωθεί πιο ρεαλιστικά το μερίδιο αγοράς του Αποδοτικού Παρόχου, καθώς αναμένεται </w:t>
      </w:r>
      <w:r w:rsidR="004340ED" w:rsidRPr="00063071">
        <w:rPr>
          <w:rFonts w:ascii="Calibri" w:hAnsi="Calibri" w:cs="Calibri"/>
          <w:sz w:val="22"/>
          <w:szCs w:val="22"/>
        </w:rPr>
        <w:t>σε πολλές περιοχές να αναπτυχθούν παράλληλα δίκτυα από δύο τουλάχιστον παρόχους</w:t>
      </w:r>
      <w:r w:rsidR="002F5784" w:rsidRPr="00063071">
        <w:rPr>
          <w:rFonts w:ascii="Calibri" w:hAnsi="Calibri" w:cs="Calibri"/>
          <w:sz w:val="22"/>
          <w:szCs w:val="22"/>
        </w:rPr>
        <w:t>.</w:t>
      </w:r>
      <w:r w:rsidR="004340ED" w:rsidRPr="00063071">
        <w:rPr>
          <w:rFonts w:ascii="Calibri" w:hAnsi="Calibri" w:cs="Calibri"/>
          <w:sz w:val="22"/>
          <w:szCs w:val="22"/>
        </w:rPr>
        <w:t xml:space="preserve"> </w:t>
      </w:r>
    </w:p>
    <w:p w14:paraId="56FDF646" w14:textId="060ED94C" w:rsidR="002F5784" w:rsidRPr="00063071" w:rsidRDefault="002F5784" w:rsidP="002F5784">
      <w:pPr>
        <w:pStyle w:val="Default"/>
        <w:rPr>
          <w:rFonts w:ascii="Calibri" w:hAnsi="Calibri" w:cs="Calibri"/>
          <w:sz w:val="22"/>
          <w:szCs w:val="22"/>
        </w:rPr>
      </w:pPr>
      <w:r w:rsidRPr="00063071">
        <w:rPr>
          <w:rFonts w:ascii="Calibri" w:hAnsi="Calibri" w:cs="Calibri"/>
          <w:sz w:val="22"/>
          <w:szCs w:val="22"/>
        </w:rPr>
        <w:lastRenderedPageBreak/>
        <w:t xml:space="preserve">Ο </w:t>
      </w:r>
      <w:r w:rsidR="00F91EB1">
        <w:rPr>
          <w:rFonts w:ascii="Calibri" w:hAnsi="Calibri" w:cs="Calibri"/>
          <w:sz w:val="22"/>
          <w:szCs w:val="22"/>
        </w:rPr>
        <w:t>ίδιος</w:t>
      </w:r>
      <w:r w:rsidRPr="00063071">
        <w:rPr>
          <w:rFonts w:ascii="Calibri" w:hAnsi="Calibri" w:cs="Calibri"/>
          <w:sz w:val="22"/>
          <w:szCs w:val="22"/>
        </w:rPr>
        <w:t xml:space="preserve"> πάροχος διατυπώνει τη διαφωνία του για το έτος έναρξης 2019 και ζητά να μεταφερθεί στο 2024 οπότε και επικρατούν διαφορετικές συνθήκες αγοράς</w:t>
      </w:r>
      <w:r w:rsidR="002F7E7B" w:rsidRPr="00063071">
        <w:rPr>
          <w:rFonts w:ascii="Calibri" w:hAnsi="Calibri" w:cs="Calibri"/>
          <w:sz w:val="22"/>
          <w:szCs w:val="22"/>
        </w:rPr>
        <w:t>, ενώ</w:t>
      </w:r>
      <w:r w:rsidRPr="00063071">
        <w:rPr>
          <w:rFonts w:ascii="Calibri" w:hAnsi="Calibri" w:cs="Calibri"/>
          <w:sz w:val="22"/>
          <w:szCs w:val="22"/>
        </w:rPr>
        <w:t xml:space="preserve"> </w:t>
      </w:r>
      <w:r w:rsidR="002F7E7B" w:rsidRPr="00063071">
        <w:rPr>
          <w:rFonts w:ascii="Calibri" w:hAnsi="Calibri" w:cs="Calibri"/>
          <w:sz w:val="22"/>
          <w:szCs w:val="22"/>
        </w:rPr>
        <w:t>αναφορικά με τις επενδύσεις,</w:t>
      </w:r>
      <w:r w:rsidRPr="00063071">
        <w:rPr>
          <w:rFonts w:ascii="Calibri" w:hAnsi="Calibri" w:cs="Calibri"/>
          <w:sz w:val="22"/>
          <w:szCs w:val="22"/>
        </w:rPr>
        <w:t xml:space="preserve"> με βάση την ρεαλιστική ανάπτυξη ενός τηλεπικοινωνιακού δικτύου, οι επενδύσεις δεν γίνονται στο σύνολό τους από την αρχή αλλά λαμβάνουν χώρα και αυτές σταδιακά προηγούμενες χρονικά της προβλεπόμενης ανάπτυξης της πελατειακής βάσης</w:t>
      </w:r>
      <w:r w:rsidR="002F7E7B" w:rsidRPr="00063071">
        <w:rPr>
          <w:rFonts w:ascii="Calibri" w:hAnsi="Calibri" w:cs="Calibri"/>
          <w:sz w:val="22"/>
          <w:szCs w:val="22"/>
        </w:rPr>
        <w:t>.</w:t>
      </w:r>
      <w:r w:rsidRPr="00063071">
        <w:rPr>
          <w:rFonts w:ascii="Calibri" w:hAnsi="Calibri" w:cs="Calibri"/>
          <w:sz w:val="22"/>
          <w:szCs w:val="22"/>
        </w:rPr>
        <w:t xml:space="preserve"> </w:t>
      </w:r>
    </w:p>
    <w:p w14:paraId="07A5F6FB" w14:textId="1D83ABF2" w:rsidR="002F7E7B" w:rsidRPr="00063071" w:rsidRDefault="002F7E7B" w:rsidP="002F5784">
      <w:pPr>
        <w:pStyle w:val="Default"/>
        <w:rPr>
          <w:rFonts w:ascii="Calibri" w:hAnsi="Calibri" w:cs="Calibri"/>
          <w:sz w:val="22"/>
          <w:szCs w:val="22"/>
        </w:rPr>
      </w:pPr>
      <w:r w:rsidRPr="00063071">
        <w:rPr>
          <w:rFonts w:ascii="Calibri" w:hAnsi="Calibri" w:cs="Calibri"/>
          <w:sz w:val="22"/>
          <w:szCs w:val="22"/>
        </w:rPr>
        <w:t xml:space="preserve">Επιπλέον αναφέρει την ανάγκη το μοντέλο να διακρίνει την ενδοκτιριακή καλωδίωση ως μια επιπλέον επαύξηση, έτσι ώστε να υπολογίζεται τόσο το επαυξητικό κόστος του </w:t>
      </w:r>
      <w:r w:rsidRPr="00063071">
        <w:rPr>
          <w:rFonts w:ascii="Calibri" w:hAnsi="Calibri" w:cs="Calibri"/>
          <w:sz w:val="22"/>
          <w:szCs w:val="22"/>
          <w:lang w:val="en-US"/>
        </w:rPr>
        <w:t>VLU</w:t>
      </w:r>
      <w:r w:rsidRPr="00063071">
        <w:rPr>
          <w:rFonts w:ascii="Calibri" w:hAnsi="Calibri" w:cs="Calibri"/>
          <w:sz w:val="22"/>
          <w:szCs w:val="22"/>
        </w:rPr>
        <w:t xml:space="preserve"> από το </w:t>
      </w:r>
      <w:r w:rsidRPr="00063071">
        <w:rPr>
          <w:rFonts w:ascii="Calibri" w:hAnsi="Calibri" w:cs="Calibri"/>
          <w:sz w:val="22"/>
          <w:szCs w:val="22"/>
          <w:lang w:val="en-US"/>
        </w:rPr>
        <w:t>BEP</w:t>
      </w:r>
      <w:r w:rsidRPr="00063071">
        <w:rPr>
          <w:rFonts w:ascii="Calibri" w:hAnsi="Calibri" w:cs="Calibri"/>
          <w:sz w:val="22"/>
          <w:szCs w:val="22"/>
        </w:rPr>
        <w:t xml:space="preserve"> ως το </w:t>
      </w:r>
      <w:r w:rsidRPr="00063071">
        <w:rPr>
          <w:rFonts w:ascii="Calibri" w:hAnsi="Calibri" w:cs="Calibri"/>
          <w:sz w:val="22"/>
          <w:szCs w:val="22"/>
          <w:lang w:val="en-US"/>
        </w:rPr>
        <w:t>Floor</w:t>
      </w:r>
      <w:r w:rsidRPr="00063071">
        <w:rPr>
          <w:rFonts w:ascii="Calibri" w:hAnsi="Calibri" w:cs="Calibri"/>
          <w:sz w:val="22"/>
          <w:szCs w:val="22"/>
        </w:rPr>
        <w:t xml:space="preserve"> </w:t>
      </w:r>
      <w:r w:rsidRPr="00063071">
        <w:rPr>
          <w:rFonts w:ascii="Calibri" w:hAnsi="Calibri" w:cs="Calibri"/>
          <w:sz w:val="22"/>
          <w:szCs w:val="22"/>
          <w:lang w:val="en-US"/>
        </w:rPr>
        <w:t>Box</w:t>
      </w:r>
      <w:r w:rsidRPr="00063071">
        <w:rPr>
          <w:rFonts w:ascii="Calibri" w:hAnsi="Calibri" w:cs="Calibri"/>
          <w:sz w:val="22"/>
          <w:szCs w:val="22"/>
        </w:rPr>
        <w:t xml:space="preserve"> αλλά και τα κόστη νέου προϊόντος παθητικής πρόσβασης στην ενδοκτιριακή καλωδίωση.</w:t>
      </w:r>
      <w:r w:rsidR="00E47562" w:rsidRPr="00063071">
        <w:rPr>
          <w:rFonts w:ascii="Calibri" w:hAnsi="Calibri" w:cs="Calibri"/>
          <w:sz w:val="22"/>
          <w:szCs w:val="22"/>
        </w:rPr>
        <w:t xml:space="preserve"> Τέλος, αναφέρει ότι το επικαιροποιημένο μοντέλο δεν λαμβάνει υπόψη τη νέα ΚΥΑ ούτε τη διάκριση των κτιρίων μεταξύ </w:t>
      </w:r>
      <w:r w:rsidR="00E47562" w:rsidRPr="00063071">
        <w:rPr>
          <w:rFonts w:ascii="Calibri" w:hAnsi="Calibri" w:cs="Calibri"/>
          <w:sz w:val="22"/>
          <w:szCs w:val="22"/>
          <w:lang w:val="en-US"/>
        </w:rPr>
        <w:t>MDU</w:t>
      </w:r>
      <w:r w:rsidR="00E47562" w:rsidRPr="00063071">
        <w:rPr>
          <w:rFonts w:ascii="Calibri" w:hAnsi="Calibri" w:cs="Calibri"/>
          <w:sz w:val="22"/>
          <w:szCs w:val="22"/>
        </w:rPr>
        <w:t xml:space="preserve"> και </w:t>
      </w:r>
      <w:r w:rsidR="00E47562" w:rsidRPr="00063071">
        <w:rPr>
          <w:rFonts w:ascii="Calibri" w:hAnsi="Calibri" w:cs="Calibri"/>
          <w:sz w:val="22"/>
          <w:szCs w:val="22"/>
          <w:lang w:val="en-US"/>
        </w:rPr>
        <w:t>SDU</w:t>
      </w:r>
      <w:r w:rsidR="00E47562" w:rsidRPr="00063071">
        <w:rPr>
          <w:rFonts w:ascii="Calibri" w:hAnsi="Calibri" w:cs="Calibri"/>
          <w:sz w:val="22"/>
          <w:szCs w:val="22"/>
        </w:rPr>
        <w:t xml:space="preserve"> αλλά ούτε και για τα δομικά στοιχεία της ενδοκτιριακής καλωδίωσης.</w:t>
      </w:r>
    </w:p>
    <w:p w14:paraId="22EEA131" w14:textId="37AA9158" w:rsidR="00063071" w:rsidRPr="00063071" w:rsidRDefault="00063071" w:rsidP="00E022F0">
      <w:pPr>
        <w:pStyle w:val="Default"/>
        <w:rPr>
          <w:rFonts w:ascii="Calibri" w:hAnsi="Calibri" w:cs="Calibri"/>
          <w:sz w:val="22"/>
          <w:szCs w:val="22"/>
        </w:rPr>
      </w:pPr>
    </w:p>
    <w:p w14:paraId="2596ADD1" w14:textId="5416D41B" w:rsidR="00063071" w:rsidRDefault="00C57AB0" w:rsidP="00E022F0">
      <w:pPr>
        <w:pStyle w:val="Default"/>
        <w:rPr>
          <w:rFonts w:ascii="Calibri" w:hAnsi="Calibri" w:cs="Calibri"/>
          <w:color w:val="auto"/>
          <w:sz w:val="22"/>
          <w:szCs w:val="22"/>
        </w:rPr>
      </w:pPr>
      <w:r w:rsidRPr="00604B2F">
        <w:rPr>
          <w:rFonts w:ascii="Calibri" w:hAnsi="Calibri" w:cs="Calibri"/>
          <w:sz w:val="22"/>
          <w:szCs w:val="22"/>
        </w:rPr>
        <w:t xml:space="preserve">Ένας συμμετέχων </w:t>
      </w:r>
      <w:r w:rsidR="003C28FC">
        <w:rPr>
          <w:rFonts w:ascii="Calibri" w:hAnsi="Calibri" w:cs="Calibri"/>
          <w:sz w:val="22"/>
          <w:szCs w:val="22"/>
        </w:rPr>
        <w:t>(----)</w:t>
      </w:r>
      <w:r w:rsidRPr="00604B2F">
        <w:rPr>
          <w:rFonts w:ascii="Calibri" w:hAnsi="Calibri" w:cs="Calibri"/>
          <w:sz w:val="22"/>
          <w:szCs w:val="22"/>
        </w:rPr>
        <w:t xml:space="preserve"> υπέβαλε σχόλια μόνο για το BU μοντέλο LRIC+ NGA για τον υπολογισμό των τιμών πρόσβασης χαλκού και οπτικής ίνας και όχι για την επικαιροποίηση του </w:t>
      </w:r>
      <w:r w:rsidRPr="00604B2F">
        <w:rPr>
          <w:rFonts w:ascii="Calibri" w:hAnsi="Calibri" w:cs="Calibri"/>
          <w:color w:val="auto"/>
          <w:sz w:val="22"/>
          <w:szCs w:val="22"/>
        </w:rPr>
        <w:t xml:space="preserve">BU μοντέλου τιμών των προϊόντων των αγορών μισθωμένων γραμμών χονδρικής και τον υπολογισμό των τιμών των υπηρεσιών πρόσβασης σε παθητική υποδομή διότι </w:t>
      </w:r>
      <w:r w:rsidRPr="00604B2F">
        <w:rPr>
          <w:rFonts w:ascii="Calibri" w:hAnsi="Calibri" w:cs="Calibri"/>
          <w:sz w:val="22"/>
          <w:szCs w:val="22"/>
        </w:rPr>
        <w:t>ο χρόνος της δημόσιας διαβούλευσης δεν ήταν επαρκής και προτείνει τη διεξαγωγή νέας διαβούλευσης με αντικείμενο</w:t>
      </w:r>
      <w:r w:rsidRPr="00604B2F">
        <w:rPr>
          <w:rFonts w:ascii="Calibri" w:hAnsi="Calibri" w:cs="Calibri"/>
          <w:color w:val="auto"/>
          <w:sz w:val="22"/>
          <w:szCs w:val="22"/>
        </w:rPr>
        <w:t xml:space="preserve"> την </w:t>
      </w:r>
      <w:r w:rsidRPr="00604B2F">
        <w:rPr>
          <w:rFonts w:ascii="Calibri" w:hAnsi="Calibri" w:cs="Calibri"/>
          <w:sz w:val="22"/>
          <w:szCs w:val="22"/>
        </w:rPr>
        <w:t xml:space="preserve">επικαιροποίηση </w:t>
      </w:r>
      <w:r w:rsidRPr="00604B2F">
        <w:rPr>
          <w:rFonts w:ascii="Calibri" w:hAnsi="Calibri" w:cs="Calibri"/>
          <w:color w:val="auto"/>
          <w:sz w:val="22"/>
          <w:szCs w:val="22"/>
        </w:rPr>
        <w:t>των μοντέλων για τις μισθωμένες γραμμές και τις υπηρεσίες PIA.</w:t>
      </w:r>
    </w:p>
    <w:p w14:paraId="74C582B2" w14:textId="5833CBBE" w:rsidR="00C45481" w:rsidRDefault="00C45481" w:rsidP="00E022F0">
      <w:pPr>
        <w:pStyle w:val="Default"/>
        <w:rPr>
          <w:rFonts w:ascii="Calibri" w:hAnsi="Calibri" w:cs="Calibri"/>
          <w:color w:val="auto"/>
          <w:sz w:val="22"/>
          <w:szCs w:val="22"/>
        </w:rPr>
      </w:pPr>
    </w:p>
    <w:p w14:paraId="7421A0EC" w14:textId="2D07953C" w:rsidR="00C45481" w:rsidRPr="003C28FC" w:rsidRDefault="003C28FC" w:rsidP="00C45481">
      <w:pPr>
        <w:pStyle w:val="Default"/>
        <w:rPr>
          <w:rFonts w:ascii="Calibri" w:hAnsi="Calibri" w:cs="Calibri"/>
          <w:color w:val="auto"/>
          <w:sz w:val="22"/>
          <w:szCs w:val="22"/>
          <w:lang w:val="en-US"/>
        </w:rPr>
      </w:pPr>
      <w:r>
        <w:rPr>
          <w:rFonts w:ascii="Calibri" w:hAnsi="Calibri" w:cs="Calibri"/>
          <w:color w:val="auto"/>
          <w:sz w:val="22"/>
          <w:szCs w:val="22"/>
          <w:lang w:val="en-US"/>
        </w:rPr>
        <w:t>….</w:t>
      </w:r>
    </w:p>
    <w:p w14:paraId="492765E2" w14:textId="77777777" w:rsidR="00C45481" w:rsidRPr="00C45481" w:rsidRDefault="00C45481" w:rsidP="00C45481">
      <w:pPr>
        <w:pStyle w:val="Default"/>
        <w:rPr>
          <w:rFonts w:ascii="Calibri" w:hAnsi="Calibri" w:cs="Calibri"/>
          <w:color w:val="auto"/>
          <w:sz w:val="22"/>
          <w:szCs w:val="22"/>
        </w:rPr>
      </w:pPr>
    </w:p>
    <w:p w14:paraId="077C7B87" w14:textId="2C249F5E" w:rsidR="00C45481" w:rsidRPr="00C45481" w:rsidRDefault="00C45481" w:rsidP="00C45481">
      <w:pPr>
        <w:pStyle w:val="Default"/>
        <w:rPr>
          <w:rFonts w:ascii="Calibri" w:hAnsi="Calibri" w:cs="Calibri"/>
          <w:color w:val="auto"/>
          <w:sz w:val="22"/>
          <w:szCs w:val="22"/>
        </w:rPr>
      </w:pPr>
      <w:r w:rsidRPr="00C45481">
        <w:rPr>
          <w:rFonts w:ascii="Calibri" w:hAnsi="Calibri" w:cs="Calibri"/>
          <w:color w:val="auto"/>
          <w:sz w:val="22"/>
          <w:szCs w:val="22"/>
        </w:rPr>
        <w:t xml:space="preserve">Ένας συμμετέχων </w:t>
      </w:r>
      <w:r w:rsidR="003C28FC">
        <w:rPr>
          <w:rFonts w:ascii="Calibri" w:hAnsi="Calibri" w:cs="Calibri"/>
          <w:color w:val="auto"/>
          <w:sz w:val="22"/>
          <w:szCs w:val="22"/>
        </w:rPr>
        <w:t>(----)</w:t>
      </w:r>
      <w:r w:rsidRPr="00C45481">
        <w:rPr>
          <w:rFonts w:ascii="Calibri" w:hAnsi="Calibri" w:cs="Calibri"/>
          <w:color w:val="auto"/>
          <w:sz w:val="22"/>
          <w:szCs w:val="22"/>
        </w:rPr>
        <w:t xml:space="preserve"> επισημαίνει ότι η ΕΕΤΤ πρέπει να προβεί σε εκτενή και εκ των προτέρων επανεξέταση συμπίεσης περιθωρίου κέρδους για τα πακέτα ADSL/VDSL του ΟΤΕ</w:t>
      </w:r>
      <w:r w:rsidR="0036609A">
        <w:rPr>
          <w:rFonts w:ascii="Calibri" w:hAnsi="Calibri" w:cs="Calibri"/>
          <w:color w:val="auto"/>
          <w:sz w:val="22"/>
          <w:szCs w:val="22"/>
        </w:rPr>
        <w:t xml:space="preserve">, καθώς και να αφήσει επαρκές χρόνο ενσωμάτωσης των νέων τιμών και περιθώριο εφαρμογής για </w:t>
      </w:r>
      <w:r w:rsidR="0036609A" w:rsidRPr="00C45481">
        <w:rPr>
          <w:rFonts w:ascii="Calibri" w:hAnsi="Calibri" w:cs="Calibri"/>
          <w:color w:val="auto"/>
          <w:sz w:val="22"/>
          <w:szCs w:val="22"/>
        </w:rPr>
        <w:t>τον μακροπρόθεσμο οικονομικό σχεδιασμό</w:t>
      </w:r>
      <w:r w:rsidR="0036609A">
        <w:rPr>
          <w:rFonts w:ascii="Calibri" w:hAnsi="Calibri" w:cs="Calibri"/>
          <w:color w:val="auto"/>
          <w:sz w:val="22"/>
          <w:szCs w:val="22"/>
        </w:rPr>
        <w:t xml:space="preserve"> των παρόχων, ενδεικτικά από το 2</w:t>
      </w:r>
      <w:r w:rsidR="0036609A" w:rsidRPr="0036609A">
        <w:rPr>
          <w:rFonts w:ascii="Calibri" w:hAnsi="Calibri" w:cs="Calibri"/>
          <w:color w:val="auto"/>
          <w:sz w:val="22"/>
          <w:szCs w:val="22"/>
          <w:vertAlign w:val="superscript"/>
        </w:rPr>
        <w:t>ο</w:t>
      </w:r>
      <w:r w:rsidR="0036609A">
        <w:rPr>
          <w:rFonts w:ascii="Calibri" w:hAnsi="Calibri" w:cs="Calibri"/>
          <w:color w:val="auto"/>
          <w:sz w:val="22"/>
          <w:szCs w:val="22"/>
        </w:rPr>
        <w:t xml:space="preserve"> τρίμηνο του 2026 και μετά</w:t>
      </w:r>
      <w:r w:rsidRPr="00C45481">
        <w:rPr>
          <w:rFonts w:ascii="Calibri" w:hAnsi="Calibri" w:cs="Calibri"/>
          <w:color w:val="auto"/>
          <w:sz w:val="22"/>
          <w:szCs w:val="22"/>
        </w:rPr>
        <w:t xml:space="preserve">. </w:t>
      </w:r>
    </w:p>
    <w:p w14:paraId="63A4073C" w14:textId="77777777" w:rsidR="00C57AB0" w:rsidRPr="00924019" w:rsidRDefault="00C57AB0" w:rsidP="00E022F0">
      <w:pPr>
        <w:pStyle w:val="Default"/>
        <w:rPr>
          <w:rFonts w:ascii="Calibri" w:hAnsi="Calibri" w:cs="Calibri"/>
          <w:sz w:val="22"/>
          <w:szCs w:val="22"/>
        </w:rPr>
      </w:pPr>
    </w:p>
    <w:p w14:paraId="28E0E225" w14:textId="77777777"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Α.1 </w:t>
      </w:r>
      <w:r w:rsidRPr="00F96284">
        <w:rPr>
          <w:rFonts w:ascii="Calibri" w:hAnsi="Calibri" w:cs="Calibri"/>
          <w:b/>
          <w:color w:val="1F4E79" w:themeColor="accent1" w:themeShade="80"/>
          <w:sz w:val="22"/>
          <w:szCs w:val="22"/>
          <w:u w:val="single"/>
        </w:rPr>
        <w:t>ΘΕΣΗ ΕΕΤΤ</w:t>
      </w:r>
    </w:p>
    <w:p w14:paraId="7E5F4B83" w14:textId="77777777" w:rsidR="00924019" w:rsidRPr="0066490C" w:rsidRDefault="00924019" w:rsidP="00E022F0">
      <w:pPr>
        <w:pStyle w:val="Default"/>
        <w:rPr>
          <w:rFonts w:ascii="Calibri" w:hAnsi="Calibri" w:cs="Calibri"/>
          <w:sz w:val="22"/>
          <w:szCs w:val="22"/>
        </w:rPr>
      </w:pPr>
    </w:p>
    <w:p w14:paraId="5CDB75F9" w14:textId="4D6E0AC0" w:rsidR="00924019" w:rsidRDefault="00587417" w:rsidP="00CE4B1A">
      <w:pPr>
        <w:pStyle w:val="ab"/>
        <w:spacing w:before="143" w:line="259" w:lineRule="auto"/>
        <w:ind w:right="135"/>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Σχετικά με την επικαιροποίηση</w:t>
      </w:r>
      <w:r w:rsidRPr="00587417">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του προτεινόμενου μοντέλου, η ΕΕΤΤ σημειώνει ότι προχώρησε σε εκτεταμένη επικαιροποίηση της ζήτησης</w:t>
      </w:r>
      <w:r w:rsidR="001D3B81">
        <w:rPr>
          <w:rFonts w:ascii="Calibri" w:hAnsi="Calibri" w:cs="Calibri"/>
          <w:color w:val="1F4E79" w:themeColor="accent1" w:themeShade="80"/>
          <w:sz w:val="22"/>
          <w:szCs w:val="22"/>
        </w:rPr>
        <w:t xml:space="preserve"> και του μεριδίου αγοράς</w:t>
      </w:r>
      <w:r>
        <w:rPr>
          <w:rFonts w:ascii="Calibri" w:hAnsi="Calibri" w:cs="Calibri"/>
          <w:color w:val="1F4E79" w:themeColor="accent1" w:themeShade="80"/>
          <w:sz w:val="22"/>
          <w:szCs w:val="22"/>
        </w:rPr>
        <w:t xml:space="preserve"> βάσει των νεότερων διαθέσιμων στοιχείων</w:t>
      </w:r>
      <w:r w:rsidR="001D3B81">
        <w:rPr>
          <w:rFonts w:ascii="Calibri" w:hAnsi="Calibri" w:cs="Calibri"/>
          <w:color w:val="1F4E79" w:themeColor="accent1" w:themeShade="80"/>
          <w:sz w:val="22"/>
          <w:szCs w:val="22"/>
        </w:rPr>
        <w:t>, καθώς και</w:t>
      </w:r>
      <w:r>
        <w:rPr>
          <w:rFonts w:ascii="Calibri" w:hAnsi="Calibri" w:cs="Calibri"/>
          <w:color w:val="1F4E79" w:themeColor="accent1" w:themeShade="80"/>
          <w:sz w:val="22"/>
          <w:szCs w:val="22"/>
        </w:rPr>
        <w:t xml:space="preserve"> της διαστασιοποίησης </w:t>
      </w:r>
      <w:r w:rsidR="001D3B81">
        <w:rPr>
          <w:rFonts w:ascii="Calibri" w:hAnsi="Calibri" w:cs="Calibri"/>
          <w:color w:val="1F4E79" w:themeColor="accent1" w:themeShade="80"/>
          <w:sz w:val="22"/>
          <w:szCs w:val="22"/>
        </w:rPr>
        <w:t>και της ενδοκτιριακής καλωδίωσης χρησιμοποιώντας</w:t>
      </w:r>
      <w:r>
        <w:rPr>
          <w:rFonts w:ascii="Calibri" w:hAnsi="Calibri" w:cs="Calibri"/>
          <w:color w:val="1F4E79" w:themeColor="accent1" w:themeShade="80"/>
          <w:sz w:val="22"/>
          <w:szCs w:val="22"/>
        </w:rPr>
        <w:t xml:space="preserve"> τα πλέον πρόσφατα στοιχεία της απογραφής κτιρίων της ΕΛΣΤΑΤ (2021)</w:t>
      </w:r>
      <w:r w:rsidR="00373F0D">
        <w:rPr>
          <w:rFonts w:ascii="Calibri" w:hAnsi="Calibri" w:cs="Calibri"/>
          <w:color w:val="1F4E79" w:themeColor="accent1" w:themeShade="80"/>
          <w:sz w:val="22"/>
          <w:szCs w:val="22"/>
        </w:rPr>
        <w:t xml:space="preserve"> που αφορούν πολυκατοικίες αλλά και μονοκατοικίες</w:t>
      </w:r>
      <w:r w:rsidR="001D3B81">
        <w:rPr>
          <w:rFonts w:ascii="Calibri" w:hAnsi="Calibri" w:cs="Calibri"/>
          <w:color w:val="1F4E79" w:themeColor="accent1" w:themeShade="80"/>
          <w:sz w:val="22"/>
          <w:szCs w:val="22"/>
        </w:rPr>
        <w:t>.</w:t>
      </w:r>
      <w:r w:rsidR="007E5B41">
        <w:rPr>
          <w:rFonts w:ascii="Calibri" w:hAnsi="Calibri" w:cs="Calibri"/>
          <w:color w:val="1F4E79" w:themeColor="accent1" w:themeShade="80"/>
          <w:sz w:val="22"/>
          <w:szCs w:val="22"/>
        </w:rPr>
        <w:t xml:space="preserve"> Οι αναφορές της </w:t>
      </w:r>
      <w:r w:rsidR="007E5B41" w:rsidRPr="007E5B41">
        <w:rPr>
          <w:rFonts w:ascii="Calibri" w:hAnsi="Calibri" w:cs="Calibri"/>
          <w:color w:val="1F4E79" w:themeColor="accent1" w:themeShade="80"/>
          <w:sz w:val="22"/>
          <w:szCs w:val="22"/>
        </w:rPr>
        <w:t>ΚΥΑ 53538/ΕΞ2023/23</w:t>
      </w:r>
      <w:r w:rsidR="007E5B41">
        <w:rPr>
          <w:rFonts w:ascii="Calibri" w:hAnsi="Calibri" w:cs="Calibri"/>
          <w:color w:val="1F4E79" w:themeColor="accent1" w:themeShade="80"/>
          <w:sz w:val="22"/>
          <w:szCs w:val="22"/>
        </w:rPr>
        <w:t xml:space="preserve"> σχετικά με την μη κατασκευή </w:t>
      </w:r>
      <w:proofErr w:type="spellStart"/>
      <w:r w:rsidR="007E5B41" w:rsidRPr="00CE4B1A">
        <w:rPr>
          <w:rFonts w:ascii="Calibri" w:hAnsi="Calibri" w:cs="Calibri"/>
          <w:color w:val="1F4E79" w:themeColor="accent1" w:themeShade="80"/>
          <w:sz w:val="22"/>
          <w:szCs w:val="22"/>
        </w:rPr>
        <w:t>floor</w:t>
      </w:r>
      <w:proofErr w:type="spellEnd"/>
      <w:r w:rsidR="007E5B41" w:rsidRPr="007E5B41">
        <w:rPr>
          <w:rFonts w:ascii="Calibri" w:hAnsi="Calibri" w:cs="Calibri"/>
          <w:color w:val="1F4E79" w:themeColor="accent1" w:themeShade="80"/>
          <w:sz w:val="22"/>
          <w:szCs w:val="22"/>
        </w:rPr>
        <w:t xml:space="preserve"> </w:t>
      </w:r>
      <w:proofErr w:type="spellStart"/>
      <w:r w:rsidR="007E5B41" w:rsidRPr="00CE4B1A">
        <w:rPr>
          <w:rFonts w:ascii="Calibri" w:hAnsi="Calibri" w:cs="Calibri"/>
          <w:color w:val="1F4E79" w:themeColor="accent1" w:themeShade="80"/>
          <w:sz w:val="22"/>
          <w:szCs w:val="22"/>
        </w:rPr>
        <w:t>box</w:t>
      </w:r>
      <w:proofErr w:type="spellEnd"/>
      <w:r w:rsidR="007E5B41" w:rsidRPr="007E5B41">
        <w:rPr>
          <w:rFonts w:ascii="Calibri" w:hAnsi="Calibri" w:cs="Calibri"/>
          <w:color w:val="1F4E79" w:themeColor="accent1" w:themeShade="80"/>
          <w:sz w:val="22"/>
          <w:szCs w:val="22"/>
        </w:rPr>
        <w:t xml:space="preserve"> </w:t>
      </w:r>
      <w:r w:rsidR="007E5B41">
        <w:rPr>
          <w:rFonts w:ascii="Calibri" w:hAnsi="Calibri" w:cs="Calibri"/>
          <w:color w:val="1F4E79" w:themeColor="accent1" w:themeShade="80"/>
          <w:sz w:val="22"/>
          <w:szCs w:val="22"/>
        </w:rPr>
        <w:t>σε κτίρια με έως 2 επίπεδα έχουν πλέον ληφθεί υπόψη θεωρώντας τις διπλοκατοικίες ως μονοκατοικίες. Επίσης ε</w:t>
      </w:r>
      <w:r w:rsidR="001D3B81">
        <w:rPr>
          <w:rFonts w:ascii="Calibri" w:hAnsi="Calibri" w:cs="Calibri"/>
          <w:color w:val="1F4E79" w:themeColor="accent1" w:themeShade="80"/>
          <w:sz w:val="22"/>
          <w:szCs w:val="22"/>
        </w:rPr>
        <w:t>πικαιροποιήθηκαν οι παράμετροι</w:t>
      </w:r>
      <w:r>
        <w:rPr>
          <w:rFonts w:ascii="Calibri" w:hAnsi="Calibri" w:cs="Calibri"/>
          <w:color w:val="1F4E79" w:themeColor="accent1" w:themeShade="80"/>
          <w:sz w:val="22"/>
          <w:szCs w:val="22"/>
        </w:rPr>
        <w:t xml:space="preserve"> πληθωρισμού τόσο για τα μηνιαία όσο και τα εφάπαξ κόστη. </w:t>
      </w:r>
    </w:p>
    <w:p w14:paraId="269E2447" w14:textId="46560CD4" w:rsidR="007E5B41" w:rsidRDefault="00587417" w:rsidP="00CE4B1A">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Αναφορικά</w:t>
      </w:r>
      <w:r w:rsidRPr="00587417">
        <w:rPr>
          <w:rFonts w:ascii="Calibri" w:hAnsi="Calibri" w:cs="Calibri"/>
          <w:color w:val="1F4E79" w:themeColor="accent1" w:themeShade="80"/>
          <w:sz w:val="22"/>
          <w:szCs w:val="22"/>
        </w:rPr>
        <w:t xml:space="preserve"> με το αρχικό έτος μοντελοποίησης, αυτό έχει τεθεί στο έτος 2019 σύμφωνα με το κείμενο των αρχών</w:t>
      </w:r>
      <w:r w:rsidR="00714D58">
        <w:rPr>
          <w:rFonts w:ascii="Calibri" w:hAnsi="Calibri" w:cs="Calibri"/>
          <w:color w:val="1F4E79" w:themeColor="accent1" w:themeShade="80"/>
          <w:sz w:val="22"/>
          <w:szCs w:val="22"/>
        </w:rPr>
        <w:t xml:space="preserve">. Σημειώνεται ότι τόσο οι επενδύσεις του </w:t>
      </w:r>
      <w:r w:rsidR="00714D58" w:rsidRPr="00CE4B1A">
        <w:rPr>
          <w:rFonts w:ascii="Calibri" w:hAnsi="Calibri" w:cs="Calibri"/>
          <w:color w:val="1F4E79" w:themeColor="accent1" w:themeShade="80"/>
          <w:sz w:val="22"/>
          <w:szCs w:val="22"/>
        </w:rPr>
        <w:t>FTTC</w:t>
      </w:r>
      <w:r w:rsidR="00714D58" w:rsidRPr="00714D58">
        <w:rPr>
          <w:rFonts w:ascii="Calibri" w:hAnsi="Calibri" w:cs="Calibri"/>
          <w:color w:val="1F4E79" w:themeColor="accent1" w:themeShade="80"/>
          <w:sz w:val="22"/>
          <w:szCs w:val="22"/>
        </w:rPr>
        <w:t xml:space="preserve"> </w:t>
      </w:r>
      <w:r w:rsidR="00714D58">
        <w:rPr>
          <w:rFonts w:ascii="Calibri" w:hAnsi="Calibri" w:cs="Calibri"/>
          <w:color w:val="1F4E79" w:themeColor="accent1" w:themeShade="80"/>
          <w:sz w:val="22"/>
          <w:szCs w:val="22"/>
        </w:rPr>
        <w:t xml:space="preserve">όσο και οι επενδύσεις του </w:t>
      </w:r>
      <w:r w:rsidR="00714D58" w:rsidRPr="00CE4B1A">
        <w:rPr>
          <w:rFonts w:ascii="Calibri" w:hAnsi="Calibri" w:cs="Calibri"/>
          <w:color w:val="1F4E79" w:themeColor="accent1" w:themeShade="80"/>
          <w:sz w:val="22"/>
          <w:szCs w:val="22"/>
        </w:rPr>
        <w:t>FTTH</w:t>
      </w:r>
      <w:r w:rsidR="00714D58" w:rsidRPr="00714D58">
        <w:rPr>
          <w:rFonts w:ascii="Calibri" w:hAnsi="Calibri" w:cs="Calibri"/>
          <w:color w:val="1F4E79" w:themeColor="accent1" w:themeShade="80"/>
          <w:sz w:val="22"/>
          <w:szCs w:val="22"/>
        </w:rPr>
        <w:t xml:space="preserve"> </w:t>
      </w:r>
      <w:r w:rsidR="00714D58">
        <w:rPr>
          <w:rFonts w:ascii="Calibri" w:hAnsi="Calibri" w:cs="Calibri"/>
          <w:color w:val="1F4E79" w:themeColor="accent1" w:themeShade="80"/>
          <w:sz w:val="22"/>
          <w:szCs w:val="22"/>
        </w:rPr>
        <w:t>έχουν ξεκινήσει ή/και ολοκληρωθεί πολύ πριν το 2024.</w:t>
      </w:r>
      <w:r w:rsidR="007E5B41">
        <w:rPr>
          <w:rFonts w:ascii="Calibri" w:hAnsi="Calibri" w:cs="Calibri"/>
          <w:color w:val="1F4E79" w:themeColor="accent1" w:themeShade="80"/>
          <w:sz w:val="22"/>
          <w:szCs w:val="22"/>
        </w:rPr>
        <w:t xml:space="preserve"> </w:t>
      </w:r>
    </w:p>
    <w:p w14:paraId="23EA8AC3" w14:textId="75F63DDC" w:rsidR="00714D58" w:rsidRDefault="00714D58" w:rsidP="00CE4B1A">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lastRenderedPageBreak/>
        <w:t>Επίσης</w:t>
      </w:r>
      <w:r w:rsidR="007C1A48" w:rsidRPr="007C1A48">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τ</w:t>
      </w:r>
      <w:r w:rsidR="001D3B81">
        <w:rPr>
          <w:rFonts w:ascii="Calibri" w:hAnsi="Calibri" w:cs="Calibri"/>
          <w:color w:val="1F4E79" w:themeColor="accent1" w:themeShade="80"/>
          <w:sz w:val="22"/>
          <w:szCs w:val="22"/>
        </w:rPr>
        <w:t>ο προτεινόμενο από ένα</w:t>
      </w:r>
      <w:r w:rsidR="00A13D67">
        <w:rPr>
          <w:rFonts w:ascii="Calibri" w:hAnsi="Calibri" w:cs="Calibri"/>
          <w:color w:val="1F4E79" w:themeColor="accent1" w:themeShade="80"/>
          <w:sz w:val="22"/>
          <w:szCs w:val="22"/>
        </w:rPr>
        <w:t>ν</w:t>
      </w:r>
      <w:r w:rsidR="001D3B81">
        <w:rPr>
          <w:rFonts w:ascii="Calibri" w:hAnsi="Calibri" w:cs="Calibri"/>
          <w:color w:val="1F4E79" w:themeColor="accent1" w:themeShade="80"/>
          <w:sz w:val="22"/>
          <w:szCs w:val="22"/>
        </w:rPr>
        <w:t xml:space="preserve"> συμμετέχοντα</w:t>
      </w:r>
      <w:r w:rsidRPr="00714D58">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νέο</w:t>
      </w:r>
      <w:r w:rsidRPr="00714D58">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προϊόν</w:t>
      </w:r>
      <w:r w:rsidR="001D3B81">
        <w:rPr>
          <w:rFonts w:ascii="Calibri" w:hAnsi="Calibri" w:cs="Calibri"/>
          <w:color w:val="1F4E79" w:themeColor="accent1" w:themeShade="80"/>
          <w:sz w:val="22"/>
          <w:szCs w:val="22"/>
        </w:rPr>
        <w:t xml:space="preserve"> δεν αφορά τις υπό ρύθμιση υπηρεσίες του μοντέλου και τη σχετική αγορά. </w:t>
      </w:r>
      <w:r>
        <w:rPr>
          <w:rFonts w:ascii="Calibri" w:hAnsi="Calibri" w:cs="Calibri"/>
          <w:color w:val="1F4E79" w:themeColor="accent1" w:themeShade="80"/>
          <w:sz w:val="22"/>
          <w:szCs w:val="22"/>
        </w:rPr>
        <w:t>Ως εκ τούτου δεν κρίνεται σκόπιμο να ενταχθεί στ</w:t>
      </w:r>
      <w:r w:rsidR="00CE4B1A">
        <w:rPr>
          <w:rFonts w:ascii="Calibri" w:hAnsi="Calibri" w:cs="Calibri"/>
          <w:color w:val="1F4E79" w:themeColor="accent1" w:themeShade="80"/>
          <w:sz w:val="22"/>
          <w:szCs w:val="22"/>
        </w:rPr>
        <w:t>ι</w:t>
      </w:r>
      <w:r>
        <w:rPr>
          <w:rFonts w:ascii="Calibri" w:hAnsi="Calibri" w:cs="Calibri"/>
          <w:color w:val="1F4E79" w:themeColor="accent1" w:themeShade="80"/>
          <w:sz w:val="22"/>
          <w:szCs w:val="22"/>
        </w:rPr>
        <w:t xml:space="preserve">ς </w:t>
      </w:r>
      <w:r w:rsidR="00CE4B1A">
        <w:rPr>
          <w:rFonts w:ascii="Calibri" w:hAnsi="Calibri" w:cs="Calibri"/>
          <w:color w:val="1F4E79" w:themeColor="accent1" w:themeShade="80"/>
          <w:sz w:val="22"/>
          <w:szCs w:val="22"/>
        </w:rPr>
        <w:t>υπό</w:t>
      </w:r>
      <w:r>
        <w:rPr>
          <w:rFonts w:ascii="Calibri" w:hAnsi="Calibri" w:cs="Calibri"/>
          <w:color w:val="1F4E79" w:themeColor="accent1" w:themeShade="80"/>
          <w:sz w:val="22"/>
          <w:szCs w:val="22"/>
        </w:rPr>
        <w:t xml:space="preserve"> μοντελοποίηση υπηρεσίες.</w:t>
      </w:r>
    </w:p>
    <w:p w14:paraId="1E844A34" w14:textId="466C67C0" w:rsidR="00587417" w:rsidRDefault="00714D58" w:rsidP="00CE4B1A">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Σχετικά με τη διάρκεια της Δημόσια Διαβούλευσης,</w:t>
      </w:r>
      <w:r w:rsidR="00D51C2D">
        <w:rPr>
          <w:rFonts w:ascii="Calibri" w:hAnsi="Calibri" w:cs="Calibri"/>
          <w:color w:val="1F4E79" w:themeColor="accent1" w:themeShade="80"/>
          <w:sz w:val="22"/>
          <w:szCs w:val="22"/>
        </w:rPr>
        <w:t xml:space="preserve"> η ΕΕΤΤ κρίνει ότι το χρονικό διάστημα σχεδόν τριών μηνών που διατέθηκε στους συμμετέχοντες ήταν επαρκές για το σύνολο των υπό μοντελοποίηση υπηρεσιών</w:t>
      </w:r>
      <w:r>
        <w:rPr>
          <w:rFonts w:ascii="Calibri" w:hAnsi="Calibri" w:cs="Calibri"/>
          <w:color w:val="1F4E79" w:themeColor="accent1" w:themeShade="80"/>
          <w:sz w:val="22"/>
          <w:szCs w:val="22"/>
        </w:rPr>
        <w:t>.</w:t>
      </w:r>
    </w:p>
    <w:p w14:paraId="52E8AE86" w14:textId="78E6B974" w:rsidR="00587417" w:rsidRDefault="00D51C2D" w:rsidP="00CE4B1A">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Τέλος, η</w:t>
      </w:r>
      <w:r w:rsidR="001D3B81">
        <w:rPr>
          <w:rFonts w:ascii="Calibri" w:hAnsi="Calibri" w:cs="Calibri"/>
          <w:color w:val="1F4E79" w:themeColor="accent1" w:themeShade="80"/>
          <w:sz w:val="22"/>
          <w:szCs w:val="22"/>
        </w:rPr>
        <w:t xml:space="preserve"> ΕΕΤΤ</w:t>
      </w:r>
      <w:r>
        <w:rPr>
          <w:rFonts w:ascii="Calibri" w:hAnsi="Calibri" w:cs="Calibri"/>
          <w:color w:val="1F4E79" w:themeColor="accent1" w:themeShade="80"/>
          <w:sz w:val="22"/>
          <w:szCs w:val="22"/>
        </w:rPr>
        <w:t xml:space="preserve"> θα προχωρήσει σε έλεγχο συμπίεσης περιθωρίου κέρδους μετά την οριστικοποίηση και κοινοποίηση του μοντέλου, ώστε να τεθούν σε εφαρμογή </w:t>
      </w:r>
      <w:r w:rsidR="00373F0D">
        <w:rPr>
          <w:rFonts w:ascii="Calibri" w:hAnsi="Calibri" w:cs="Calibri"/>
          <w:color w:val="1F4E79" w:themeColor="accent1" w:themeShade="80"/>
          <w:sz w:val="22"/>
          <w:szCs w:val="22"/>
        </w:rPr>
        <w:t>οι νέες ρυθμιζόμενες τιμές</w:t>
      </w:r>
      <w:r>
        <w:rPr>
          <w:rFonts w:ascii="Calibri" w:hAnsi="Calibri" w:cs="Calibri"/>
          <w:color w:val="1F4E79" w:themeColor="accent1" w:themeShade="80"/>
          <w:sz w:val="22"/>
          <w:szCs w:val="22"/>
        </w:rPr>
        <w:t xml:space="preserve">.  </w:t>
      </w:r>
    </w:p>
    <w:p w14:paraId="79A66119" w14:textId="77777777" w:rsidR="00373F0D" w:rsidRPr="00373F0D" w:rsidRDefault="00373F0D" w:rsidP="00E022F0">
      <w:pPr>
        <w:pStyle w:val="Default"/>
        <w:rPr>
          <w:rFonts w:ascii="Calibri" w:hAnsi="Calibri" w:cs="Calibri"/>
          <w:color w:val="1F4E79" w:themeColor="accent1" w:themeShade="80"/>
          <w:sz w:val="22"/>
          <w:szCs w:val="22"/>
        </w:rPr>
      </w:pPr>
    </w:p>
    <w:p w14:paraId="5C904585" w14:textId="25C7ED50" w:rsidR="00063071" w:rsidRPr="00063071" w:rsidRDefault="00063071" w:rsidP="00E022F0">
      <w:pPr>
        <w:pStyle w:val="Default"/>
        <w:rPr>
          <w:rFonts w:ascii="Calibri" w:hAnsi="Calibri" w:cs="Calibri"/>
          <w:sz w:val="22"/>
          <w:szCs w:val="22"/>
        </w:rPr>
      </w:pPr>
    </w:p>
    <w:p w14:paraId="4A8833DB" w14:textId="495BE1AF" w:rsidR="00063071" w:rsidRPr="00D47AE9" w:rsidRDefault="00063071" w:rsidP="00392B3A">
      <w:pPr>
        <w:pStyle w:val="2"/>
        <w:keepNext w:val="0"/>
        <w:widowControl w:val="0"/>
        <w:numPr>
          <w:ilvl w:val="0"/>
          <w:numId w:val="6"/>
        </w:numPr>
        <w:tabs>
          <w:tab w:val="left" w:pos="722"/>
        </w:tabs>
        <w:autoSpaceDE w:val="0"/>
        <w:autoSpaceDN w:val="0"/>
        <w:spacing w:line="240" w:lineRule="auto"/>
        <w:jc w:val="both"/>
        <w:rPr>
          <w:rFonts w:ascii="Calibri" w:hAnsi="Calibri" w:cs="Calibri"/>
          <w:b w:val="0"/>
          <w:color w:val="2E5395"/>
          <w:sz w:val="22"/>
          <w:szCs w:val="22"/>
        </w:rPr>
      </w:pPr>
      <w:r w:rsidRPr="00D47AE9">
        <w:rPr>
          <w:rFonts w:ascii="Calibri" w:hAnsi="Calibri" w:cs="Calibri"/>
          <w:b w:val="0"/>
          <w:color w:val="2E5395"/>
          <w:sz w:val="22"/>
          <w:szCs w:val="22"/>
        </w:rPr>
        <w:t>Μοντέλο Bottom-up</w:t>
      </w:r>
    </w:p>
    <w:p w14:paraId="663A28F5" w14:textId="2C7EBBDB" w:rsidR="00063071" w:rsidRDefault="00063071" w:rsidP="00A63461">
      <w:pPr>
        <w:pStyle w:val="ab"/>
        <w:spacing w:before="143" w:line="259" w:lineRule="auto"/>
        <w:ind w:right="135"/>
        <w:rPr>
          <w:rFonts w:ascii="Calibri" w:hAnsi="Calibri" w:cs="Calibri"/>
          <w:b/>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sidRPr="00063071">
        <w:rPr>
          <w:rFonts w:ascii="Calibri" w:hAnsi="Calibri" w:cs="Calibri"/>
          <w:sz w:val="22"/>
          <w:szCs w:val="22"/>
        </w:rPr>
        <w:t xml:space="preserve"> </w:t>
      </w:r>
      <w:r>
        <w:rPr>
          <w:rFonts w:ascii="Calibri" w:hAnsi="Calibri" w:cs="Calibri"/>
          <w:sz w:val="22"/>
          <w:szCs w:val="22"/>
        </w:rPr>
        <w:t>διαφωνεί</w:t>
      </w:r>
      <w:r w:rsidRPr="00063071">
        <w:rPr>
          <w:rFonts w:ascii="Calibri" w:hAnsi="Calibri" w:cs="Calibri"/>
          <w:spacing w:val="-12"/>
          <w:sz w:val="22"/>
          <w:szCs w:val="22"/>
        </w:rPr>
        <w:t xml:space="preserve"> </w:t>
      </w:r>
      <w:r w:rsidRPr="00063071">
        <w:rPr>
          <w:rFonts w:ascii="Calibri" w:hAnsi="Calibri" w:cs="Calibri"/>
          <w:sz w:val="22"/>
          <w:szCs w:val="22"/>
        </w:rPr>
        <w:t>με</w:t>
      </w:r>
      <w:r w:rsidRPr="00063071">
        <w:rPr>
          <w:rFonts w:ascii="Calibri" w:hAnsi="Calibri" w:cs="Calibri"/>
          <w:spacing w:val="-13"/>
          <w:sz w:val="22"/>
          <w:szCs w:val="22"/>
        </w:rPr>
        <w:t xml:space="preserve"> </w:t>
      </w:r>
      <w:r w:rsidRPr="00063071">
        <w:rPr>
          <w:rFonts w:ascii="Calibri" w:hAnsi="Calibri" w:cs="Calibri"/>
          <w:sz w:val="22"/>
          <w:szCs w:val="22"/>
        </w:rPr>
        <w:t>την</w:t>
      </w:r>
      <w:r w:rsidRPr="00063071">
        <w:rPr>
          <w:rFonts w:ascii="Calibri" w:hAnsi="Calibri" w:cs="Calibri"/>
          <w:spacing w:val="-11"/>
          <w:sz w:val="22"/>
          <w:szCs w:val="22"/>
        </w:rPr>
        <w:t xml:space="preserve"> </w:t>
      </w:r>
      <w:r w:rsidRPr="00063071">
        <w:rPr>
          <w:rFonts w:ascii="Calibri" w:hAnsi="Calibri" w:cs="Calibri"/>
          <w:sz w:val="22"/>
          <w:szCs w:val="22"/>
        </w:rPr>
        <w:t>υπόθεση</w:t>
      </w:r>
      <w:r w:rsidRPr="00063071">
        <w:rPr>
          <w:rFonts w:ascii="Calibri" w:hAnsi="Calibri" w:cs="Calibri"/>
          <w:spacing w:val="-13"/>
          <w:sz w:val="22"/>
          <w:szCs w:val="22"/>
        </w:rPr>
        <w:t xml:space="preserve"> </w:t>
      </w:r>
      <w:r w:rsidRPr="00063071">
        <w:rPr>
          <w:rFonts w:ascii="Calibri" w:hAnsi="Calibri" w:cs="Calibri"/>
          <w:sz w:val="22"/>
          <w:szCs w:val="22"/>
        </w:rPr>
        <w:t>του</w:t>
      </w:r>
      <w:r w:rsidRPr="00063071">
        <w:rPr>
          <w:rFonts w:ascii="Calibri" w:hAnsi="Calibri" w:cs="Calibri"/>
          <w:spacing w:val="-12"/>
          <w:sz w:val="22"/>
          <w:szCs w:val="22"/>
        </w:rPr>
        <w:t xml:space="preserve"> </w:t>
      </w:r>
      <w:r w:rsidRPr="00063071">
        <w:rPr>
          <w:rFonts w:ascii="Calibri" w:hAnsi="Calibri" w:cs="Calibri"/>
          <w:sz w:val="22"/>
          <w:szCs w:val="22"/>
        </w:rPr>
        <w:t>μοντέλου</w:t>
      </w:r>
      <w:r w:rsidRPr="00063071">
        <w:rPr>
          <w:rFonts w:ascii="Calibri" w:hAnsi="Calibri" w:cs="Calibri"/>
          <w:spacing w:val="25"/>
          <w:sz w:val="22"/>
          <w:szCs w:val="22"/>
        </w:rPr>
        <w:t xml:space="preserve"> </w:t>
      </w:r>
      <w:r w:rsidRPr="00063071">
        <w:rPr>
          <w:rFonts w:ascii="Calibri" w:hAnsi="Calibri" w:cs="Calibri"/>
          <w:sz w:val="22"/>
          <w:szCs w:val="22"/>
        </w:rPr>
        <w:t>ότι</w:t>
      </w:r>
      <w:r w:rsidRPr="00063071">
        <w:rPr>
          <w:rFonts w:ascii="Calibri" w:hAnsi="Calibri" w:cs="Calibri"/>
          <w:spacing w:val="-13"/>
          <w:sz w:val="22"/>
          <w:szCs w:val="22"/>
        </w:rPr>
        <w:t xml:space="preserve"> </w:t>
      </w:r>
      <w:r w:rsidRPr="00063071">
        <w:rPr>
          <w:rFonts w:ascii="Calibri" w:hAnsi="Calibri" w:cs="Calibri"/>
          <w:sz w:val="22"/>
          <w:szCs w:val="22"/>
        </w:rPr>
        <w:t>το</w:t>
      </w:r>
      <w:r w:rsidRPr="00063071">
        <w:rPr>
          <w:rFonts w:ascii="Calibri" w:hAnsi="Calibri" w:cs="Calibri"/>
          <w:spacing w:val="-12"/>
          <w:sz w:val="22"/>
          <w:szCs w:val="22"/>
        </w:rPr>
        <w:t xml:space="preserve"> </w:t>
      </w:r>
      <w:r w:rsidRPr="00063071">
        <w:rPr>
          <w:rFonts w:ascii="Calibri" w:hAnsi="Calibri" w:cs="Calibri"/>
          <w:sz w:val="22"/>
          <w:szCs w:val="22"/>
        </w:rPr>
        <w:t>δίκτυο FTTH εξυπηρετεί εξαρχής το σύνολο των συνδρομητών, θα έπρεπε να ξεκινάει από τα πραγματικά δεδομένα (μέχρι την τρέχουσα χρονική στιγμή) της ζήτησης (τόσο των συνδρομητών όσο και της κίνησης) και να χτίζει το μοντέλο βάσει αυτής</w:t>
      </w:r>
      <w:r w:rsidRPr="00063071">
        <w:rPr>
          <w:rFonts w:ascii="Calibri" w:hAnsi="Calibri" w:cs="Calibri"/>
          <w:b/>
          <w:sz w:val="22"/>
          <w:szCs w:val="22"/>
        </w:rPr>
        <w:t>.</w:t>
      </w:r>
    </w:p>
    <w:p w14:paraId="4E082116" w14:textId="7D3BE80B" w:rsidR="00C57AB0" w:rsidRPr="00604B2F" w:rsidRDefault="00C57AB0" w:rsidP="00C57AB0">
      <w:pPr>
        <w:pStyle w:val="ab"/>
        <w:spacing w:before="143" w:line="259" w:lineRule="auto"/>
        <w:ind w:right="136"/>
        <w:rPr>
          <w:rFonts w:ascii="Calibri" w:hAnsi="Calibri" w:cs="Calibri"/>
          <w:sz w:val="22"/>
          <w:szCs w:val="22"/>
        </w:rPr>
      </w:pPr>
      <w:r w:rsidRPr="00604B2F">
        <w:rPr>
          <w:rFonts w:ascii="Calibri" w:hAnsi="Calibri" w:cs="Calibri"/>
          <w:sz w:val="22"/>
          <w:szCs w:val="22"/>
        </w:rPr>
        <w:t xml:space="preserve">Ένας συμμετέχων </w:t>
      </w:r>
      <w:r w:rsidR="003C28FC">
        <w:rPr>
          <w:rFonts w:ascii="Calibri" w:hAnsi="Calibri" w:cs="Calibri"/>
          <w:sz w:val="22"/>
          <w:szCs w:val="22"/>
        </w:rPr>
        <w:t>(----)</w:t>
      </w:r>
      <w:r w:rsidRPr="00604B2F">
        <w:rPr>
          <w:rFonts w:ascii="Calibri" w:hAnsi="Calibri" w:cs="Calibri"/>
          <w:sz w:val="22"/>
          <w:szCs w:val="22"/>
        </w:rPr>
        <w:t xml:space="preserve"> επισημαίνει ότι οι τρέχουσες ρυθμισμένες τιμές για τις υπηρεσίες FTTH είναι </w:t>
      </w:r>
      <w:proofErr w:type="spellStart"/>
      <w:r w:rsidRPr="00604B2F">
        <w:rPr>
          <w:rFonts w:ascii="Calibri" w:hAnsi="Calibri" w:cs="Calibri"/>
          <w:sz w:val="22"/>
          <w:szCs w:val="22"/>
        </w:rPr>
        <w:t>πληθωρισμένες</w:t>
      </w:r>
      <w:proofErr w:type="spellEnd"/>
      <w:r w:rsidRPr="00604B2F">
        <w:rPr>
          <w:rFonts w:ascii="Calibri" w:hAnsi="Calibri" w:cs="Calibri"/>
          <w:sz w:val="22"/>
          <w:szCs w:val="22"/>
        </w:rPr>
        <w:t xml:space="preserve"> λόγω αστοχιών του NGA μοντέλου</w:t>
      </w:r>
      <w:r>
        <w:rPr>
          <w:rFonts w:ascii="Calibri" w:hAnsi="Calibri" w:cs="Calibri"/>
          <w:sz w:val="22"/>
          <w:szCs w:val="22"/>
        </w:rPr>
        <w:t>, για παράδειγμα ο</w:t>
      </w:r>
      <w:r w:rsidRPr="00604B2F">
        <w:rPr>
          <w:rFonts w:ascii="Calibri" w:hAnsi="Calibri" w:cs="Calibri"/>
          <w:sz w:val="22"/>
          <w:szCs w:val="22"/>
        </w:rPr>
        <w:t>ι προτεινόμενες, από την ΕΕΤΤ, ήπιες μειώσεις στις ρυθμιζόμενες τιμές, είναι αισθητά χαμηλότερες από τις τιμές που προσφέρονται μέσω των εκπτωτικών πακέτων</w:t>
      </w:r>
      <w:r>
        <w:rPr>
          <w:rFonts w:ascii="Calibri" w:hAnsi="Calibri" w:cs="Calibri"/>
          <w:sz w:val="22"/>
          <w:szCs w:val="22"/>
        </w:rPr>
        <w:t xml:space="preserve"> </w:t>
      </w:r>
      <w:r w:rsidRPr="00604B2F">
        <w:rPr>
          <w:rFonts w:ascii="Calibri" w:hAnsi="Calibri" w:cs="Calibri"/>
          <w:sz w:val="22"/>
          <w:szCs w:val="22"/>
        </w:rPr>
        <w:t xml:space="preserve">βάσει όγκου που μείωσαν τις τιμές σε ποσοστό μέχρι και 25%. Παράλληλα, η τιμή για την υπηρεσία FTTH 100 (10,49 EUR) θα παραμείνει υψηλότερη της τιμής του FTTC 100 (9,06 EUR), δημιουργώντας αντικίνητρο για τους καταναλωτές για τη μετάβαση στις υπηρεσίες FTTH. </w:t>
      </w:r>
    </w:p>
    <w:p w14:paraId="5672714F" w14:textId="1A19246B" w:rsidR="00C57AB0" w:rsidRDefault="00C57AB0" w:rsidP="00C57AB0">
      <w:pPr>
        <w:pStyle w:val="ab"/>
        <w:spacing w:before="143" w:line="259" w:lineRule="auto"/>
        <w:ind w:right="135"/>
        <w:rPr>
          <w:rFonts w:ascii="Calibri" w:hAnsi="Calibri" w:cs="Calibri"/>
          <w:b/>
          <w:sz w:val="22"/>
          <w:szCs w:val="22"/>
        </w:rPr>
      </w:pPr>
      <w:bookmarkStart w:id="2" w:name="_Hlk220922102"/>
      <w:r>
        <w:rPr>
          <w:rFonts w:ascii="Calibri" w:hAnsi="Calibri" w:cs="Calibri"/>
          <w:sz w:val="22"/>
          <w:szCs w:val="22"/>
        </w:rPr>
        <w:t xml:space="preserve">Για το λόγο αυτό, </w:t>
      </w:r>
      <w:r w:rsidRPr="00604B2F">
        <w:rPr>
          <w:rFonts w:ascii="Calibri" w:hAnsi="Calibri" w:cs="Calibri"/>
          <w:sz w:val="22"/>
          <w:szCs w:val="22"/>
        </w:rPr>
        <w:t xml:space="preserve">προτείνει η ΕΕΤΤ να εξετάσει (α) τη διατήρηση των τιμών χαλκού και την πιθανή αύξησή τους σε περιοχές σε συνάρτηση με την διαδικασία </w:t>
      </w:r>
      <w:proofErr w:type="spellStart"/>
      <w:r w:rsidRPr="00604B2F">
        <w:rPr>
          <w:rFonts w:ascii="Calibri" w:hAnsi="Calibri" w:cs="Calibri"/>
          <w:sz w:val="22"/>
          <w:szCs w:val="22"/>
        </w:rPr>
        <w:t>αποχαλκοποίησης</w:t>
      </w:r>
      <w:proofErr w:type="spellEnd"/>
      <w:r w:rsidRPr="00604B2F">
        <w:rPr>
          <w:rFonts w:ascii="Calibri" w:hAnsi="Calibri" w:cs="Calibri"/>
          <w:sz w:val="22"/>
          <w:szCs w:val="22"/>
        </w:rPr>
        <w:t xml:space="preserve">  και (β) τη μείωση των τιμών FTTH.</w:t>
      </w:r>
    </w:p>
    <w:bookmarkEnd w:id="2"/>
    <w:p w14:paraId="5D51BD8A" w14:textId="23E14DE5" w:rsidR="004014AE" w:rsidRPr="0066490C" w:rsidRDefault="004014AE" w:rsidP="00A63461">
      <w:pPr>
        <w:pStyle w:val="ab"/>
        <w:spacing w:before="143" w:line="259" w:lineRule="auto"/>
        <w:ind w:right="135"/>
        <w:rPr>
          <w:rFonts w:ascii="Calibri" w:hAnsi="Calibri" w:cs="Calibri"/>
          <w:b/>
          <w:sz w:val="22"/>
          <w:szCs w:val="22"/>
        </w:rPr>
      </w:pPr>
    </w:p>
    <w:p w14:paraId="6681C6BD" w14:textId="0A648688"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373F0D">
        <w:rPr>
          <w:rFonts w:ascii="Calibri" w:hAnsi="Calibri" w:cs="Calibri"/>
          <w:b/>
          <w:color w:val="1F4E79" w:themeColor="accent1" w:themeShade="80"/>
          <w:sz w:val="22"/>
          <w:szCs w:val="22"/>
          <w:u w:val="single"/>
        </w:rPr>
        <w:t>2</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1825357D" w14:textId="1807F3D9" w:rsidR="00924019" w:rsidRDefault="00373F0D" w:rsidP="00A63461">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Η ζήτηση και η διαστασιοποίηση βάσει της μεθόδου της αντικατάστασης </w:t>
      </w:r>
      <w:r w:rsidR="003C3FAC">
        <w:rPr>
          <w:rFonts w:ascii="Calibri" w:hAnsi="Calibri" w:cs="Calibri"/>
          <w:color w:val="1F4E79" w:themeColor="accent1" w:themeShade="80"/>
          <w:sz w:val="22"/>
          <w:szCs w:val="22"/>
        </w:rPr>
        <w:t>βασίζεται</w:t>
      </w:r>
      <w:r>
        <w:rPr>
          <w:rFonts w:ascii="Calibri" w:hAnsi="Calibri" w:cs="Calibri"/>
          <w:color w:val="1F4E79" w:themeColor="accent1" w:themeShade="80"/>
          <w:sz w:val="22"/>
          <w:szCs w:val="22"/>
        </w:rPr>
        <w:t xml:space="preserve"> </w:t>
      </w:r>
      <w:r w:rsidR="003C3FAC">
        <w:rPr>
          <w:rFonts w:ascii="Calibri" w:hAnsi="Calibri" w:cs="Calibri"/>
          <w:color w:val="1F4E79" w:themeColor="accent1" w:themeShade="80"/>
          <w:sz w:val="22"/>
          <w:szCs w:val="22"/>
        </w:rPr>
        <w:t>στις</w:t>
      </w:r>
      <w:r>
        <w:rPr>
          <w:rFonts w:ascii="Calibri" w:hAnsi="Calibri" w:cs="Calibri"/>
          <w:color w:val="1F4E79" w:themeColor="accent1" w:themeShade="80"/>
          <w:sz w:val="22"/>
          <w:szCs w:val="22"/>
        </w:rPr>
        <w:t xml:space="preserve"> Αρχ</w:t>
      </w:r>
      <w:r w:rsidR="003C3FAC">
        <w:rPr>
          <w:rFonts w:ascii="Calibri" w:hAnsi="Calibri" w:cs="Calibri"/>
          <w:color w:val="1F4E79" w:themeColor="accent1" w:themeShade="80"/>
          <w:sz w:val="22"/>
          <w:szCs w:val="22"/>
        </w:rPr>
        <w:t>ές</w:t>
      </w:r>
      <w:r>
        <w:rPr>
          <w:rFonts w:ascii="Calibri" w:hAnsi="Calibri" w:cs="Calibri"/>
          <w:color w:val="1F4E79" w:themeColor="accent1" w:themeShade="80"/>
          <w:sz w:val="22"/>
          <w:szCs w:val="22"/>
        </w:rPr>
        <w:t xml:space="preserve"> του μοντέλου</w:t>
      </w:r>
      <w:r w:rsidR="003C3FAC">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όπως αυτές διαμορφώθηκαν στη σχετική Δημόσια Διαβούλευση και σύμφωνα με τη Σύσταση </w:t>
      </w:r>
      <w:r w:rsidRPr="00373F0D">
        <w:rPr>
          <w:rFonts w:ascii="Calibri" w:hAnsi="Calibri" w:cs="Calibri"/>
          <w:color w:val="1F4E79" w:themeColor="accent1" w:themeShade="80"/>
          <w:sz w:val="22"/>
          <w:szCs w:val="22"/>
        </w:rPr>
        <w:t>της Επιτροπής 523/6.2.2024/ΕΕ</w:t>
      </w:r>
      <w:r>
        <w:rPr>
          <w:rFonts w:ascii="Calibri" w:hAnsi="Calibri" w:cs="Calibri"/>
          <w:color w:val="1F4E79" w:themeColor="accent1" w:themeShade="80"/>
          <w:sz w:val="22"/>
          <w:szCs w:val="22"/>
        </w:rPr>
        <w:t>.</w:t>
      </w:r>
      <w:r w:rsidR="009405D6">
        <w:rPr>
          <w:rFonts w:ascii="Calibri" w:hAnsi="Calibri" w:cs="Calibri"/>
          <w:color w:val="1F4E79" w:themeColor="accent1" w:themeShade="80"/>
          <w:sz w:val="22"/>
          <w:szCs w:val="22"/>
        </w:rPr>
        <w:t xml:space="preserve"> Σημειώνεται ότι </w:t>
      </w:r>
      <w:r w:rsidR="003C3FAC">
        <w:rPr>
          <w:rFonts w:ascii="Calibri" w:hAnsi="Calibri" w:cs="Calibri"/>
          <w:color w:val="1F4E79" w:themeColor="accent1" w:themeShade="80"/>
          <w:sz w:val="22"/>
          <w:szCs w:val="22"/>
        </w:rPr>
        <w:t xml:space="preserve">κυρίως </w:t>
      </w:r>
      <w:r w:rsidR="009405D6">
        <w:rPr>
          <w:rFonts w:ascii="Calibri" w:hAnsi="Calibri" w:cs="Calibri"/>
          <w:color w:val="1F4E79" w:themeColor="accent1" w:themeShade="80"/>
          <w:sz w:val="22"/>
          <w:szCs w:val="22"/>
        </w:rPr>
        <w:t xml:space="preserve">τα ενεργά στοιχεία </w:t>
      </w:r>
      <w:r w:rsidR="003C3FAC">
        <w:rPr>
          <w:rFonts w:ascii="Calibri" w:hAnsi="Calibri" w:cs="Calibri"/>
          <w:color w:val="1F4E79" w:themeColor="accent1" w:themeShade="80"/>
          <w:sz w:val="22"/>
          <w:szCs w:val="22"/>
        </w:rPr>
        <w:t xml:space="preserve">και εξοπλισμός </w:t>
      </w:r>
      <w:r w:rsidR="009405D6">
        <w:rPr>
          <w:rFonts w:ascii="Calibri" w:hAnsi="Calibri" w:cs="Calibri"/>
          <w:color w:val="1F4E79" w:themeColor="accent1" w:themeShade="80"/>
          <w:sz w:val="22"/>
          <w:szCs w:val="22"/>
        </w:rPr>
        <w:t xml:space="preserve">του δικτύου σχετίζονται με τη ζήτηση και την ακολουθούν. Η υπόλοιπη διαστασιοποίηση σχετίζεται με τα επενδυτικά πλάνα, τις υλοποιήσεις των παρόχων και τις ρυθμιστικές επιλογές βάσει της Σύστασης. </w:t>
      </w:r>
    </w:p>
    <w:p w14:paraId="140A6AF1" w14:textId="2F390AE4" w:rsidR="00373F0D" w:rsidRDefault="00373F0D" w:rsidP="00A63461">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Σχετικά με το ύψος των ρυθμιζόμενων τιμών </w:t>
      </w:r>
      <w:r w:rsidR="00681D73">
        <w:rPr>
          <w:rFonts w:ascii="Calibri" w:hAnsi="Calibri" w:cs="Calibri"/>
          <w:color w:val="1F4E79" w:themeColor="accent1" w:themeShade="80"/>
          <w:sz w:val="22"/>
          <w:szCs w:val="22"/>
        </w:rPr>
        <w:t xml:space="preserve">και το σχόλιο ενός συμμετέχοντα, </w:t>
      </w:r>
      <w:r w:rsidR="00186983">
        <w:rPr>
          <w:rFonts w:ascii="Calibri" w:hAnsi="Calibri" w:cs="Calibri"/>
          <w:color w:val="1F4E79" w:themeColor="accent1" w:themeShade="80"/>
          <w:sz w:val="22"/>
          <w:szCs w:val="22"/>
        </w:rPr>
        <w:t>οι νέες τιμές</w:t>
      </w:r>
      <w:r>
        <w:rPr>
          <w:rFonts w:ascii="Calibri" w:hAnsi="Calibri" w:cs="Calibri"/>
          <w:color w:val="1F4E79" w:themeColor="accent1" w:themeShade="80"/>
          <w:sz w:val="22"/>
          <w:szCs w:val="22"/>
        </w:rPr>
        <w:t xml:space="preserve"> </w:t>
      </w:r>
      <w:r w:rsidR="00186983">
        <w:rPr>
          <w:rFonts w:ascii="Calibri" w:hAnsi="Calibri" w:cs="Calibri"/>
          <w:color w:val="1F4E79" w:themeColor="accent1" w:themeShade="80"/>
          <w:sz w:val="22"/>
          <w:szCs w:val="22"/>
        </w:rPr>
        <w:t>υπολογίζονται βάσει των αρχών και της διαστασιοποίησης</w:t>
      </w:r>
      <w:r w:rsidR="00681D73">
        <w:rPr>
          <w:rFonts w:ascii="Calibri" w:hAnsi="Calibri" w:cs="Calibri"/>
          <w:color w:val="1F4E79" w:themeColor="accent1" w:themeShade="80"/>
          <w:sz w:val="22"/>
          <w:szCs w:val="22"/>
        </w:rPr>
        <w:t>,</w:t>
      </w:r>
      <w:r w:rsidR="00186983">
        <w:rPr>
          <w:rFonts w:ascii="Calibri" w:hAnsi="Calibri" w:cs="Calibri"/>
          <w:color w:val="1F4E79" w:themeColor="accent1" w:themeShade="80"/>
          <w:sz w:val="22"/>
          <w:szCs w:val="22"/>
        </w:rPr>
        <w:t xml:space="preserve"> όπως αυτές </w:t>
      </w:r>
      <w:r w:rsidR="00681D73">
        <w:rPr>
          <w:rFonts w:ascii="Calibri" w:hAnsi="Calibri" w:cs="Calibri"/>
          <w:color w:val="1F4E79" w:themeColor="accent1" w:themeShade="80"/>
          <w:sz w:val="22"/>
          <w:szCs w:val="22"/>
        </w:rPr>
        <w:t>διαμορφώθηκαν στο τελικό κείμενο Αρχών μετά τις προτάσεις και τα επικαιροποιημένα στοιχεία που διέθεσαν οι πάροχοι. Αντιθέτως</w:t>
      </w:r>
      <w:r w:rsidR="003C3FAC">
        <w:rPr>
          <w:rFonts w:ascii="Calibri" w:hAnsi="Calibri" w:cs="Calibri"/>
          <w:color w:val="1F4E79" w:themeColor="accent1" w:themeShade="80"/>
          <w:sz w:val="22"/>
          <w:szCs w:val="22"/>
        </w:rPr>
        <w:t>,</w:t>
      </w:r>
      <w:r w:rsidR="00681D73">
        <w:rPr>
          <w:rFonts w:ascii="Calibri" w:hAnsi="Calibri" w:cs="Calibri"/>
          <w:color w:val="1F4E79" w:themeColor="accent1" w:themeShade="80"/>
          <w:sz w:val="22"/>
          <w:szCs w:val="22"/>
        </w:rPr>
        <w:t xml:space="preserve"> οι τιμές των εκπτώσεων όγκου βασίστηκαν στο παλαιό μοντέλο, για το οποίο όλοι οι πάροχοι συμφώνησαν ότι δεν αντανακλά πλέον της συνθήκες της αγοράς σύμφωνα με τα νεότερα δεδομένα. Αξίζει να σημειωθεί ότι σημαντικός παράγοντας στον περιορισμό της μείωσης των τιμών των υπηρεσιών </w:t>
      </w:r>
      <w:r w:rsidR="00681D73">
        <w:rPr>
          <w:rFonts w:ascii="Calibri" w:hAnsi="Calibri" w:cs="Calibri"/>
          <w:color w:val="1F4E79" w:themeColor="accent1" w:themeShade="80"/>
          <w:sz w:val="22"/>
          <w:szCs w:val="22"/>
          <w:lang w:val="en-US"/>
        </w:rPr>
        <w:t>FTTH</w:t>
      </w:r>
      <w:r w:rsidR="00681D73" w:rsidRPr="00681D73">
        <w:rPr>
          <w:rFonts w:ascii="Calibri" w:hAnsi="Calibri" w:cs="Calibri"/>
          <w:color w:val="1F4E79" w:themeColor="accent1" w:themeShade="80"/>
          <w:sz w:val="22"/>
          <w:szCs w:val="22"/>
        </w:rPr>
        <w:t xml:space="preserve"> </w:t>
      </w:r>
      <w:r w:rsidR="00681D73">
        <w:rPr>
          <w:rFonts w:ascii="Calibri" w:hAnsi="Calibri" w:cs="Calibri"/>
          <w:color w:val="1F4E79" w:themeColor="accent1" w:themeShade="80"/>
          <w:sz w:val="22"/>
          <w:szCs w:val="22"/>
        </w:rPr>
        <w:t xml:space="preserve">αποτέλεσε η </w:t>
      </w:r>
      <w:r w:rsidR="00681D73">
        <w:rPr>
          <w:rFonts w:ascii="Calibri" w:hAnsi="Calibri" w:cs="Calibri"/>
          <w:color w:val="1F4E79" w:themeColor="accent1" w:themeShade="80"/>
          <w:sz w:val="22"/>
          <w:szCs w:val="22"/>
        </w:rPr>
        <w:lastRenderedPageBreak/>
        <w:t xml:space="preserve">πανελλαδική κάλυψη του δικτύου </w:t>
      </w:r>
      <w:r w:rsidR="00681D73">
        <w:rPr>
          <w:rFonts w:ascii="Calibri" w:hAnsi="Calibri" w:cs="Calibri"/>
          <w:color w:val="1F4E79" w:themeColor="accent1" w:themeShade="80"/>
          <w:sz w:val="22"/>
          <w:szCs w:val="22"/>
          <w:lang w:val="en-US"/>
        </w:rPr>
        <w:t>FTTH</w:t>
      </w:r>
      <w:r w:rsidR="00681D73" w:rsidRPr="00681D73">
        <w:rPr>
          <w:rFonts w:ascii="Calibri" w:hAnsi="Calibri" w:cs="Calibri"/>
          <w:color w:val="1F4E79" w:themeColor="accent1" w:themeShade="80"/>
          <w:sz w:val="22"/>
          <w:szCs w:val="22"/>
        </w:rPr>
        <w:t xml:space="preserve"> </w:t>
      </w:r>
      <w:r w:rsidR="00681D73">
        <w:rPr>
          <w:rFonts w:ascii="Calibri" w:hAnsi="Calibri" w:cs="Calibri"/>
          <w:color w:val="1F4E79" w:themeColor="accent1" w:themeShade="80"/>
          <w:sz w:val="22"/>
          <w:szCs w:val="22"/>
        </w:rPr>
        <w:t>συμπεριλαμβανομένων των επαρχιακών περιοχών (εξαιρουμένων των επιδοτούμενων), οι οποίες παρουσιάζουν σημαντικά μικρότερη οικιστική πυκνότητα</w:t>
      </w:r>
      <w:r w:rsidR="003C3FAC">
        <w:rPr>
          <w:rFonts w:ascii="Calibri" w:hAnsi="Calibri" w:cs="Calibri"/>
          <w:color w:val="1F4E79" w:themeColor="accent1" w:themeShade="80"/>
          <w:sz w:val="22"/>
          <w:szCs w:val="22"/>
        </w:rPr>
        <w:t>,</w:t>
      </w:r>
      <w:r w:rsidR="00681D73">
        <w:rPr>
          <w:rFonts w:ascii="Calibri" w:hAnsi="Calibri" w:cs="Calibri"/>
          <w:color w:val="1F4E79" w:themeColor="accent1" w:themeShade="80"/>
          <w:sz w:val="22"/>
          <w:szCs w:val="22"/>
        </w:rPr>
        <w:t xml:space="preserve"> μεγαλύτερο μέσο μήκος και κόστος ανά συνδρομητή.</w:t>
      </w:r>
    </w:p>
    <w:p w14:paraId="776BC893" w14:textId="3A639DC0" w:rsidR="00373F0D" w:rsidRPr="009405D6" w:rsidRDefault="009405D6" w:rsidP="00A63461">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Τέλος, οι προτάσεις του συμμετέχοντα δεν σχετίζονται με τη μεθοδολογία</w:t>
      </w:r>
      <w:r w:rsidR="003C3FAC">
        <w:rPr>
          <w:rFonts w:ascii="Calibri" w:hAnsi="Calibri" w:cs="Calibri"/>
          <w:color w:val="1F4E79" w:themeColor="accent1" w:themeShade="80"/>
          <w:sz w:val="22"/>
          <w:szCs w:val="22"/>
        </w:rPr>
        <w:t xml:space="preserve"> κοστολόγησης</w:t>
      </w:r>
      <w:r>
        <w:rPr>
          <w:rFonts w:ascii="Calibri" w:hAnsi="Calibri" w:cs="Calibri"/>
          <w:color w:val="1F4E79" w:themeColor="accent1" w:themeShade="80"/>
          <w:sz w:val="22"/>
          <w:szCs w:val="22"/>
        </w:rPr>
        <w:t xml:space="preserve"> και δεν δικαιολογούνται βάσει μοντελοποίησης.</w:t>
      </w:r>
    </w:p>
    <w:p w14:paraId="3953C648" w14:textId="77777777" w:rsidR="00924019" w:rsidRDefault="00924019" w:rsidP="00A63461">
      <w:pPr>
        <w:pStyle w:val="ab"/>
        <w:spacing w:before="143" w:line="259" w:lineRule="auto"/>
        <w:ind w:right="135"/>
        <w:rPr>
          <w:rFonts w:ascii="Calibri" w:hAnsi="Calibri" w:cs="Calibri"/>
          <w:b/>
          <w:sz w:val="22"/>
          <w:szCs w:val="22"/>
        </w:rPr>
      </w:pPr>
    </w:p>
    <w:p w14:paraId="0D700087" w14:textId="77777777" w:rsidR="009405D6" w:rsidRPr="00373F0D" w:rsidRDefault="009405D6" w:rsidP="00A63461">
      <w:pPr>
        <w:pStyle w:val="ab"/>
        <w:spacing w:before="143" w:line="259" w:lineRule="auto"/>
        <w:ind w:right="135"/>
        <w:rPr>
          <w:rFonts w:ascii="Calibri" w:hAnsi="Calibri" w:cs="Calibri"/>
          <w:b/>
          <w:sz w:val="22"/>
          <w:szCs w:val="22"/>
        </w:rPr>
      </w:pPr>
    </w:p>
    <w:p w14:paraId="5BD66868" w14:textId="6BCCD5F5" w:rsidR="004014AE" w:rsidRPr="00D47AE9" w:rsidRDefault="004014AE" w:rsidP="00392B3A">
      <w:pPr>
        <w:pStyle w:val="2"/>
        <w:keepNext w:val="0"/>
        <w:widowControl w:val="0"/>
        <w:numPr>
          <w:ilvl w:val="1"/>
          <w:numId w:val="6"/>
        </w:numPr>
        <w:tabs>
          <w:tab w:val="left" w:pos="720"/>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rPr>
        <w:t>Εξέλιξη γραμμών σταθερής σύνδεσης</w:t>
      </w:r>
    </w:p>
    <w:p w14:paraId="4B703E23" w14:textId="640976D9" w:rsidR="004014AE" w:rsidRDefault="004014AE" w:rsidP="004014AE">
      <w:pPr>
        <w:pStyle w:val="ab"/>
        <w:spacing w:before="143" w:line="259" w:lineRule="auto"/>
        <w:ind w:right="135"/>
        <w:rPr>
          <w:rFonts w:ascii="Calibri" w:hAnsi="Calibri" w:cs="Calibri"/>
          <w:sz w:val="22"/>
          <w:szCs w:val="22"/>
        </w:rPr>
      </w:pPr>
      <w:r w:rsidRPr="001F4475">
        <w:rPr>
          <w:rFonts w:ascii="Calibri" w:hAnsi="Calibri" w:cs="Calibri"/>
          <w:sz w:val="22"/>
          <w:szCs w:val="22"/>
        </w:rPr>
        <w:t xml:space="preserve">Ένας συμμετέχων </w:t>
      </w:r>
      <w:r w:rsidR="003C28FC">
        <w:rPr>
          <w:rFonts w:ascii="Calibri" w:hAnsi="Calibri" w:cs="Calibri"/>
          <w:sz w:val="22"/>
          <w:szCs w:val="22"/>
        </w:rPr>
        <w:t>(----)</w:t>
      </w:r>
      <w:r w:rsidRPr="001F4475">
        <w:rPr>
          <w:rFonts w:ascii="Calibri" w:hAnsi="Calibri" w:cs="Calibri"/>
          <w:sz w:val="22"/>
          <w:szCs w:val="22"/>
        </w:rPr>
        <w:t xml:space="preserve"> διαφωνεί με τις προβλέψεις της ΕΕΤΤ για τη διαχρονική εξέλιξη των συνδρομητών </w:t>
      </w:r>
      <w:r>
        <w:rPr>
          <w:rFonts w:ascii="Calibri" w:hAnsi="Calibri" w:cs="Calibri"/>
          <w:sz w:val="22"/>
          <w:szCs w:val="22"/>
        </w:rPr>
        <w:t xml:space="preserve">σταθερής υπηρεσίας και υποστηρίζει ότι η ΕΕΤΤ υποεκτιμά τη δυναμική της διαχρονικής εξέλιξης των συνδρομητών δορυφορικής σταθερής και </w:t>
      </w:r>
      <w:proofErr w:type="spellStart"/>
      <w:r w:rsidRPr="004014AE">
        <w:rPr>
          <w:rFonts w:ascii="Calibri" w:hAnsi="Calibri" w:cs="Calibri"/>
          <w:sz w:val="22"/>
          <w:szCs w:val="22"/>
        </w:rPr>
        <w:t>Fixed</w:t>
      </w:r>
      <w:proofErr w:type="spellEnd"/>
      <w:r w:rsidRPr="001F4475">
        <w:rPr>
          <w:rFonts w:ascii="Calibri" w:hAnsi="Calibri" w:cs="Calibri"/>
          <w:sz w:val="22"/>
          <w:szCs w:val="22"/>
        </w:rPr>
        <w:t xml:space="preserve"> </w:t>
      </w:r>
      <w:proofErr w:type="spellStart"/>
      <w:r w:rsidRPr="004014AE">
        <w:rPr>
          <w:rFonts w:ascii="Calibri" w:hAnsi="Calibri" w:cs="Calibri"/>
          <w:sz w:val="22"/>
          <w:szCs w:val="22"/>
        </w:rPr>
        <w:t>Wireless</w:t>
      </w:r>
      <w:proofErr w:type="spellEnd"/>
      <w:r w:rsidRPr="001F4475">
        <w:rPr>
          <w:rFonts w:ascii="Calibri" w:hAnsi="Calibri" w:cs="Calibri"/>
          <w:sz w:val="22"/>
          <w:szCs w:val="22"/>
        </w:rPr>
        <w:t xml:space="preserve"> </w:t>
      </w:r>
      <w:r w:rsidRPr="004014AE">
        <w:rPr>
          <w:rFonts w:ascii="Calibri" w:hAnsi="Calibri" w:cs="Calibri"/>
          <w:sz w:val="22"/>
          <w:szCs w:val="22"/>
        </w:rPr>
        <w:t>Access</w:t>
      </w:r>
      <w:r w:rsidRPr="001F4475">
        <w:rPr>
          <w:rFonts w:ascii="Calibri" w:hAnsi="Calibri" w:cs="Calibri"/>
          <w:sz w:val="22"/>
          <w:szCs w:val="22"/>
        </w:rPr>
        <w:t>.</w:t>
      </w:r>
      <w:r>
        <w:rPr>
          <w:rFonts w:ascii="Calibri" w:hAnsi="Calibri" w:cs="Calibri"/>
          <w:sz w:val="22"/>
          <w:szCs w:val="22"/>
        </w:rPr>
        <w:t xml:space="preserve"> Προτείνει να αναθεωρηθεί προς τα κάτω και συγκεκριμένα να προβλεφθεί ότι ο αριθμός των γραμμών σταθερής σύνδεσης, μέχρι το 2030, θα φτάσει στα 3,95 εκ, αντί για 4,22 εκ. που προβλέπει το υπό διαβούλευση μοντέλο.</w:t>
      </w:r>
      <w:r w:rsidR="008E26D2">
        <w:rPr>
          <w:rFonts w:ascii="Calibri" w:hAnsi="Calibri" w:cs="Calibri"/>
          <w:sz w:val="22"/>
          <w:szCs w:val="22"/>
        </w:rPr>
        <w:t xml:space="preserve"> </w:t>
      </w:r>
    </w:p>
    <w:p w14:paraId="4E21368D" w14:textId="513D3539" w:rsidR="008E26D2" w:rsidRPr="008E26D2" w:rsidRDefault="008E26D2" w:rsidP="008E26D2">
      <w:pPr>
        <w:pStyle w:val="ab"/>
        <w:spacing w:before="143" w:line="259" w:lineRule="auto"/>
        <w:ind w:right="135"/>
        <w:rPr>
          <w:rFonts w:ascii="Calibri" w:hAnsi="Calibri" w:cs="Calibri"/>
          <w:sz w:val="22"/>
          <w:szCs w:val="22"/>
        </w:rPr>
      </w:pPr>
      <w:r w:rsidRPr="008E26D2">
        <w:rPr>
          <w:rFonts w:ascii="Calibri" w:hAnsi="Calibri" w:cs="Calibri"/>
          <w:sz w:val="22"/>
          <w:szCs w:val="22"/>
        </w:rPr>
        <w:t xml:space="preserve">Ένας συμμετέχων </w:t>
      </w:r>
      <w:r w:rsidR="003C28FC">
        <w:rPr>
          <w:rFonts w:ascii="Calibri" w:hAnsi="Calibri" w:cs="Calibri"/>
          <w:sz w:val="22"/>
          <w:szCs w:val="22"/>
        </w:rPr>
        <w:t>(----)</w:t>
      </w:r>
      <w:r w:rsidRPr="008E26D2">
        <w:rPr>
          <w:rFonts w:ascii="Calibri" w:hAnsi="Calibri" w:cs="Calibri"/>
          <w:sz w:val="22"/>
          <w:szCs w:val="22"/>
        </w:rPr>
        <w:t xml:space="preserve"> συμφωνεί με την προσέγγιση της ΕΕΤΤ να ληφθεί υπόψη η ετήσια μείωση του αριθμού των ενεργών συνδρομητών, ως αποτέλεσμα μετακινήσεων προς άλλα δίκτυα κινητής ή δορυφορικής σύνδεσης, καθώς και λόγω δημογραφικών παραμέτρων.</w:t>
      </w:r>
    </w:p>
    <w:p w14:paraId="02388A60" w14:textId="44ADDBB2" w:rsidR="008E26D2" w:rsidRPr="00063071" w:rsidRDefault="00283F12" w:rsidP="004014AE">
      <w:pPr>
        <w:pStyle w:val="ab"/>
        <w:spacing w:before="143" w:line="259" w:lineRule="auto"/>
        <w:ind w:right="135"/>
        <w:rPr>
          <w:rFonts w:ascii="Calibri" w:hAnsi="Calibri" w:cs="Calibri"/>
          <w:sz w:val="22"/>
          <w:szCs w:val="22"/>
        </w:rPr>
      </w:pPr>
      <w:r w:rsidRPr="00573679">
        <w:rPr>
          <w:rFonts w:ascii="Calibri" w:hAnsi="Calibri" w:cs="Calibri"/>
          <w:sz w:val="22"/>
          <w:szCs w:val="22"/>
        </w:rPr>
        <w:t xml:space="preserve">Ένας συμμετέχων </w:t>
      </w:r>
      <w:r w:rsidR="003C28FC">
        <w:rPr>
          <w:rFonts w:ascii="Calibri" w:hAnsi="Calibri" w:cs="Calibri"/>
          <w:sz w:val="22"/>
          <w:szCs w:val="22"/>
        </w:rPr>
        <w:t>(----)</w:t>
      </w:r>
      <w:r w:rsidRPr="00573679">
        <w:rPr>
          <w:rFonts w:ascii="Calibri" w:hAnsi="Calibri" w:cs="Calibri"/>
          <w:sz w:val="22"/>
          <w:szCs w:val="22"/>
        </w:rPr>
        <w:t xml:space="preserve"> </w:t>
      </w:r>
      <w:r>
        <w:rPr>
          <w:rFonts w:ascii="Calibri" w:hAnsi="Calibri" w:cs="Calibri"/>
          <w:sz w:val="22"/>
          <w:szCs w:val="22"/>
        </w:rPr>
        <w:t xml:space="preserve">προτείνει </w:t>
      </w:r>
      <w:r w:rsidRPr="00283F12">
        <w:rPr>
          <w:rFonts w:ascii="Calibri" w:hAnsi="Calibri" w:cs="Calibri"/>
          <w:sz w:val="22"/>
          <w:szCs w:val="22"/>
        </w:rPr>
        <w:t>η συσχέτιση των ενεργών γραμμών να γίνεται με τον αριθμό των νοικοκυριών</w:t>
      </w:r>
      <w:r>
        <w:rPr>
          <w:rFonts w:ascii="Calibri" w:hAnsi="Calibri" w:cs="Calibri"/>
          <w:sz w:val="22"/>
          <w:szCs w:val="22"/>
        </w:rPr>
        <w:t xml:space="preserve"> αντί για τον πληθυσμό, και </w:t>
      </w:r>
      <w:r w:rsidR="007B6FC8">
        <w:rPr>
          <w:rFonts w:ascii="Calibri" w:hAnsi="Calibri" w:cs="Calibri"/>
          <w:sz w:val="22"/>
          <w:szCs w:val="22"/>
        </w:rPr>
        <w:t>θεωρεί ως πιο εύλογη την παραδοχή</w:t>
      </w:r>
      <w:r w:rsidRPr="00283F12">
        <w:rPr>
          <w:rFonts w:ascii="Calibri" w:hAnsi="Calibri" w:cs="Calibri"/>
          <w:sz w:val="22"/>
          <w:szCs w:val="22"/>
        </w:rPr>
        <w:t xml:space="preserve"> για σταθερό πλήθος σταθερών ευρυζωνικών γραμμών, δεδομένης της αβεβαιότητας που υπάρχει</w:t>
      </w:r>
      <w:r w:rsidR="007B6FC8">
        <w:rPr>
          <w:rFonts w:ascii="Calibri" w:hAnsi="Calibri" w:cs="Calibri"/>
          <w:sz w:val="22"/>
          <w:szCs w:val="22"/>
        </w:rPr>
        <w:t>.</w:t>
      </w:r>
    </w:p>
    <w:p w14:paraId="34EDEE37"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470824DE" w14:textId="553A341C"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CB13EF">
        <w:rPr>
          <w:rFonts w:ascii="Calibri" w:hAnsi="Calibri" w:cs="Calibri"/>
          <w:b/>
          <w:color w:val="1F4E79" w:themeColor="accent1" w:themeShade="80"/>
          <w:sz w:val="22"/>
          <w:szCs w:val="22"/>
          <w:u w:val="single"/>
        </w:rPr>
        <w:t>3</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15E7FA84" w14:textId="2ECCCCD0" w:rsidR="00CB13EF" w:rsidRDefault="00CB13EF" w:rsidP="00CB13EF">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Βάσει των νεότερων </w:t>
      </w:r>
      <w:r w:rsidR="00743A31">
        <w:rPr>
          <w:rFonts w:ascii="Calibri" w:hAnsi="Calibri" w:cs="Calibri"/>
          <w:color w:val="1F4E79" w:themeColor="accent1" w:themeShade="80"/>
          <w:sz w:val="22"/>
          <w:szCs w:val="22"/>
        </w:rPr>
        <w:t xml:space="preserve">διαθέσιμων </w:t>
      </w:r>
      <w:r>
        <w:rPr>
          <w:rFonts w:ascii="Calibri" w:hAnsi="Calibri" w:cs="Calibri"/>
          <w:color w:val="1F4E79" w:themeColor="accent1" w:themeShade="80"/>
          <w:sz w:val="22"/>
          <w:szCs w:val="22"/>
        </w:rPr>
        <w:t>στοιχείων</w:t>
      </w:r>
      <w:r w:rsidR="00743A31">
        <w:rPr>
          <w:rFonts w:ascii="Calibri" w:hAnsi="Calibri" w:cs="Calibri"/>
          <w:color w:val="1F4E79" w:themeColor="accent1" w:themeShade="80"/>
          <w:sz w:val="22"/>
          <w:szCs w:val="22"/>
        </w:rPr>
        <w:t>, η ΕΕΤΤ εκτιμά ότι το σύνολο των συνδρομητών χαλκού ειδικά στις επιδοτούμενες περιοχές αναμένεται να είναι όντως μικρότερο από αυτό που αρχικά είχε αποτυπωθεί στο επικαιροποιημένο μοντέλο</w:t>
      </w:r>
      <w:r w:rsidR="004E0F04">
        <w:rPr>
          <w:rFonts w:ascii="Calibri" w:hAnsi="Calibri" w:cs="Calibri"/>
          <w:color w:val="1F4E79" w:themeColor="accent1" w:themeShade="80"/>
          <w:sz w:val="22"/>
          <w:szCs w:val="22"/>
        </w:rPr>
        <w:t xml:space="preserve"> κατά περίπου 80 χιλιάδες συνδρομητές</w:t>
      </w:r>
      <w:r w:rsidR="00743A31">
        <w:rPr>
          <w:rFonts w:ascii="Calibri" w:hAnsi="Calibri" w:cs="Calibri"/>
          <w:color w:val="1F4E79" w:themeColor="accent1" w:themeShade="80"/>
          <w:sz w:val="22"/>
          <w:szCs w:val="22"/>
        </w:rPr>
        <w:t xml:space="preserve">. </w:t>
      </w:r>
      <w:r w:rsidR="004E0F04">
        <w:rPr>
          <w:rFonts w:ascii="Calibri" w:hAnsi="Calibri" w:cs="Calibri"/>
          <w:color w:val="1F4E79" w:themeColor="accent1" w:themeShade="80"/>
          <w:sz w:val="22"/>
          <w:szCs w:val="22"/>
        </w:rPr>
        <w:t xml:space="preserve">Η εν λόγω μείωση βασίζεται στην εξέλιξη των </w:t>
      </w:r>
      <w:r w:rsidR="003C3FAC">
        <w:rPr>
          <w:rFonts w:ascii="Calibri" w:hAnsi="Calibri" w:cs="Calibri"/>
          <w:color w:val="1F4E79" w:themeColor="accent1" w:themeShade="80"/>
          <w:sz w:val="22"/>
          <w:szCs w:val="22"/>
        </w:rPr>
        <w:t>συνδρομητών</w:t>
      </w:r>
      <w:r w:rsidR="003C3FAC" w:rsidRPr="003C3FAC">
        <w:rPr>
          <w:rFonts w:ascii="Calibri" w:hAnsi="Calibri" w:cs="Calibri"/>
          <w:color w:val="1F4E79" w:themeColor="accent1" w:themeShade="80"/>
          <w:sz w:val="22"/>
          <w:szCs w:val="22"/>
        </w:rPr>
        <w:t xml:space="preserve"> </w:t>
      </w:r>
      <w:r w:rsidR="004E0F04">
        <w:rPr>
          <w:rFonts w:ascii="Calibri" w:hAnsi="Calibri" w:cs="Calibri"/>
          <w:color w:val="1F4E79" w:themeColor="accent1" w:themeShade="80"/>
          <w:sz w:val="22"/>
          <w:szCs w:val="22"/>
          <w:lang w:val="en-US"/>
        </w:rPr>
        <w:t>Fixed</w:t>
      </w:r>
      <w:r w:rsidR="004E0F04" w:rsidRPr="004E0F04">
        <w:rPr>
          <w:rFonts w:ascii="Calibri" w:hAnsi="Calibri" w:cs="Calibri"/>
          <w:color w:val="1F4E79" w:themeColor="accent1" w:themeShade="80"/>
          <w:sz w:val="22"/>
          <w:szCs w:val="22"/>
        </w:rPr>
        <w:t xml:space="preserve"> </w:t>
      </w:r>
      <w:r w:rsidR="004E0F04">
        <w:rPr>
          <w:rFonts w:ascii="Calibri" w:hAnsi="Calibri" w:cs="Calibri"/>
          <w:color w:val="1F4E79" w:themeColor="accent1" w:themeShade="80"/>
          <w:sz w:val="22"/>
          <w:szCs w:val="22"/>
          <w:lang w:val="en-US"/>
        </w:rPr>
        <w:t>Wireless</w:t>
      </w:r>
      <w:r w:rsidR="004E0F04" w:rsidRPr="004E0F04">
        <w:rPr>
          <w:rFonts w:ascii="Calibri" w:hAnsi="Calibri" w:cs="Calibri"/>
          <w:color w:val="1F4E79" w:themeColor="accent1" w:themeShade="80"/>
          <w:sz w:val="22"/>
          <w:szCs w:val="22"/>
        </w:rPr>
        <w:t xml:space="preserve"> </w:t>
      </w:r>
      <w:r w:rsidR="004E0F04">
        <w:rPr>
          <w:rFonts w:ascii="Calibri" w:hAnsi="Calibri" w:cs="Calibri"/>
          <w:color w:val="1F4E79" w:themeColor="accent1" w:themeShade="80"/>
          <w:sz w:val="22"/>
          <w:szCs w:val="22"/>
          <w:lang w:val="en-US"/>
        </w:rPr>
        <w:t>Access</w:t>
      </w:r>
      <w:r w:rsidR="004E0F04" w:rsidRPr="004E0F04">
        <w:rPr>
          <w:rFonts w:ascii="Calibri" w:hAnsi="Calibri" w:cs="Calibri"/>
          <w:color w:val="1F4E79" w:themeColor="accent1" w:themeShade="80"/>
          <w:sz w:val="22"/>
          <w:szCs w:val="22"/>
        </w:rPr>
        <w:t xml:space="preserve"> </w:t>
      </w:r>
      <w:r w:rsidR="003C3FAC">
        <w:rPr>
          <w:rFonts w:ascii="Calibri" w:hAnsi="Calibri" w:cs="Calibri"/>
          <w:color w:val="1F4E79" w:themeColor="accent1" w:themeShade="80"/>
          <w:sz w:val="22"/>
          <w:szCs w:val="22"/>
        </w:rPr>
        <w:t xml:space="preserve">και δορυφορικής πρόσβασης </w:t>
      </w:r>
      <w:r w:rsidR="004E0F04">
        <w:rPr>
          <w:rFonts w:ascii="Calibri" w:hAnsi="Calibri" w:cs="Calibri"/>
          <w:color w:val="1F4E79" w:themeColor="accent1" w:themeShade="80"/>
          <w:sz w:val="22"/>
          <w:szCs w:val="22"/>
        </w:rPr>
        <w:t xml:space="preserve">κυρίως στις επιδοτούμενες περιοχές, όπου αναμένεται να είναι πιο αργή η επέκταση του δικτύου </w:t>
      </w:r>
      <w:r w:rsidR="004E0F04">
        <w:rPr>
          <w:rFonts w:ascii="Calibri" w:hAnsi="Calibri" w:cs="Calibri"/>
          <w:color w:val="1F4E79" w:themeColor="accent1" w:themeShade="80"/>
          <w:sz w:val="22"/>
          <w:szCs w:val="22"/>
          <w:lang w:val="en-US"/>
        </w:rPr>
        <w:t>FTTH</w:t>
      </w:r>
      <w:r w:rsidR="004E0F04">
        <w:rPr>
          <w:rFonts w:ascii="Calibri" w:hAnsi="Calibri" w:cs="Calibri"/>
          <w:color w:val="1F4E79" w:themeColor="accent1" w:themeShade="80"/>
          <w:sz w:val="22"/>
          <w:szCs w:val="22"/>
        </w:rPr>
        <w:t xml:space="preserve">. </w:t>
      </w:r>
      <w:r w:rsidR="00743A31">
        <w:rPr>
          <w:rFonts w:ascii="Calibri" w:hAnsi="Calibri" w:cs="Calibri"/>
          <w:color w:val="1F4E79" w:themeColor="accent1" w:themeShade="80"/>
          <w:sz w:val="22"/>
          <w:szCs w:val="22"/>
        </w:rPr>
        <w:t>Η εν λόγω διόρθωση θα ενσωματωθεί στη τελική έκδοση του μοντέλο</w:t>
      </w:r>
      <w:r w:rsidR="004E0F04">
        <w:rPr>
          <w:rFonts w:ascii="Calibri" w:hAnsi="Calibri" w:cs="Calibri"/>
          <w:color w:val="1F4E79" w:themeColor="accent1" w:themeShade="80"/>
          <w:sz w:val="22"/>
          <w:szCs w:val="22"/>
        </w:rPr>
        <w:t xml:space="preserve">υ. Σημειώνεται ότι δεν αναμένεται αντίστοιχη μείωση στις υπόλοιπες περιοχές που αφορούν το </w:t>
      </w:r>
      <w:r w:rsidR="004E0F04">
        <w:rPr>
          <w:rFonts w:ascii="Calibri" w:hAnsi="Calibri" w:cs="Calibri"/>
          <w:color w:val="1F4E79" w:themeColor="accent1" w:themeShade="80"/>
          <w:sz w:val="22"/>
          <w:szCs w:val="22"/>
          <w:lang w:val="en-US"/>
        </w:rPr>
        <w:t>FTTH</w:t>
      </w:r>
      <w:r w:rsidR="004E0F04" w:rsidRPr="004E0F04">
        <w:rPr>
          <w:rFonts w:ascii="Calibri" w:hAnsi="Calibri" w:cs="Calibri"/>
          <w:color w:val="1F4E79" w:themeColor="accent1" w:themeShade="80"/>
          <w:sz w:val="22"/>
          <w:szCs w:val="22"/>
        </w:rPr>
        <w:t xml:space="preserve"> </w:t>
      </w:r>
      <w:r w:rsidR="004E0F04">
        <w:rPr>
          <w:rFonts w:ascii="Calibri" w:hAnsi="Calibri" w:cs="Calibri"/>
          <w:color w:val="1F4E79" w:themeColor="accent1" w:themeShade="80"/>
          <w:sz w:val="22"/>
          <w:szCs w:val="22"/>
        </w:rPr>
        <w:t>δίκτυο</w:t>
      </w:r>
      <w:r w:rsidR="003765E5">
        <w:rPr>
          <w:rFonts w:ascii="Calibri" w:hAnsi="Calibri" w:cs="Calibri"/>
          <w:color w:val="1F4E79" w:themeColor="accent1" w:themeShade="80"/>
          <w:sz w:val="22"/>
          <w:szCs w:val="22"/>
        </w:rPr>
        <w:t xml:space="preserve"> του μοντέλου</w:t>
      </w:r>
      <w:r w:rsidR="004E0F04">
        <w:rPr>
          <w:rFonts w:ascii="Calibri" w:hAnsi="Calibri" w:cs="Calibri"/>
          <w:color w:val="1F4E79" w:themeColor="accent1" w:themeShade="80"/>
          <w:sz w:val="22"/>
          <w:szCs w:val="22"/>
        </w:rPr>
        <w:t xml:space="preserve">, όπου θα διατηρηθεί η </w:t>
      </w:r>
      <w:r w:rsidR="003C3FAC">
        <w:rPr>
          <w:rFonts w:ascii="Calibri" w:hAnsi="Calibri" w:cs="Calibri"/>
          <w:color w:val="1F4E79" w:themeColor="accent1" w:themeShade="80"/>
          <w:sz w:val="22"/>
          <w:szCs w:val="22"/>
        </w:rPr>
        <w:t xml:space="preserve">υφιστάμενη </w:t>
      </w:r>
      <w:r w:rsidR="004E0F04">
        <w:rPr>
          <w:rFonts w:ascii="Calibri" w:hAnsi="Calibri" w:cs="Calibri"/>
          <w:color w:val="1F4E79" w:themeColor="accent1" w:themeShade="80"/>
          <w:sz w:val="22"/>
          <w:szCs w:val="22"/>
        </w:rPr>
        <w:t>τάση μείωσης γραμμών.</w:t>
      </w:r>
    </w:p>
    <w:p w14:paraId="7F38F47C" w14:textId="01DA1066" w:rsidR="00924019" w:rsidRPr="00636123" w:rsidRDefault="004E0F04" w:rsidP="00A63461">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Τέλος, η ΕΕΤΤ δεν συμφωνεί με τη</w:t>
      </w:r>
      <w:r w:rsidR="00636123">
        <w:rPr>
          <w:rFonts w:ascii="Calibri" w:hAnsi="Calibri" w:cs="Calibri"/>
          <w:color w:val="1F4E79" w:themeColor="accent1" w:themeShade="80"/>
          <w:sz w:val="22"/>
          <w:szCs w:val="22"/>
        </w:rPr>
        <w:t>ν</w:t>
      </w:r>
      <w:r>
        <w:rPr>
          <w:rFonts w:ascii="Calibri" w:hAnsi="Calibri" w:cs="Calibri"/>
          <w:color w:val="1F4E79" w:themeColor="accent1" w:themeShade="80"/>
          <w:sz w:val="22"/>
          <w:szCs w:val="22"/>
        </w:rPr>
        <w:t xml:space="preserve"> πρόταση ενός συμμετέχοντα για σταθερή τάση στο σύνολο των γραμμών βασιζόμενη στα πρόσφατα διαθέσιμα στοιχεί</w:t>
      </w:r>
      <w:r w:rsidR="003765E5">
        <w:rPr>
          <w:rFonts w:ascii="Calibri" w:hAnsi="Calibri" w:cs="Calibri"/>
          <w:color w:val="1F4E79" w:themeColor="accent1" w:themeShade="80"/>
          <w:sz w:val="22"/>
          <w:szCs w:val="22"/>
        </w:rPr>
        <w:t>α</w:t>
      </w:r>
      <w:r>
        <w:rPr>
          <w:rFonts w:ascii="Calibri" w:hAnsi="Calibri" w:cs="Calibri"/>
          <w:color w:val="1F4E79" w:themeColor="accent1" w:themeShade="80"/>
          <w:sz w:val="22"/>
          <w:szCs w:val="22"/>
        </w:rPr>
        <w:t xml:space="preserve"> που δείχνουν σαφώς τη συνεχιζόμενη μείωση.</w:t>
      </w:r>
    </w:p>
    <w:p w14:paraId="0B6C0E2C" w14:textId="77777777" w:rsidR="00924019" w:rsidRPr="00CB13EF" w:rsidRDefault="00924019" w:rsidP="00A63461">
      <w:pPr>
        <w:pStyle w:val="ab"/>
        <w:spacing w:before="143" w:line="259" w:lineRule="auto"/>
        <w:ind w:right="135"/>
        <w:rPr>
          <w:rFonts w:ascii="Calibri" w:hAnsi="Calibri" w:cs="Calibri"/>
          <w:sz w:val="22"/>
          <w:szCs w:val="22"/>
        </w:rPr>
      </w:pPr>
    </w:p>
    <w:p w14:paraId="015F8478" w14:textId="13D19B40" w:rsidR="004014AE" w:rsidRPr="00A63461" w:rsidRDefault="004014AE" w:rsidP="00392B3A">
      <w:pPr>
        <w:pStyle w:val="2"/>
        <w:keepNext w:val="0"/>
        <w:widowControl w:val="0"/>
        <w:numPr>
          <w:ilvl w:val="1"/>
          <w:numId w:val="6"/>
        </w:numPr>
        <w:tabs>
          <w:tab w:val="left" w:pos="722"/>
        </w:tabs>
        <w:autoSpaceDE w:val="0"/>
        <w:autoSpaceDN w:val="0"/>
        <w:spacing w:line="240" w:lineRule="auto"/>
        <w:jc w:val="both"/>
        <w:rPr>
          <w:rFonts w:ascii="Calibri" w:hAnsi="Calibri" w:cs="Calibri"/>
          <w:b w:val="0"/>
          <w:color w:val="2E5395"/>
          <w:sz w:val="22"/>
          <w:szCs w:val="22"/>
        </w:rPr>
      </w:pPr>
      <w:r w:rsidRPr="00063071">
        <w:rPr>
          <w:rFonts w:ascii="Calibri" w:hAnsi="Calibri" w:cs="Calibri"/>
          <w:b w:val="0"/>
          <w:color w:val="2E5395"/>
          <w:sz w:val="22"/>
          <w:szCs w:val="22"/>
        </w:rPr>
        <w:t>Μερίδια</w:t>
      </w:r>
      <w:r w:rsidRPr="00A63461">
        <w:rPr>
          <w:rFonts w:ascii="Calibri" w:hAnsi="Calibri" w:cs="Calibri"/>
          <w:b w:val="0"/>
          <w:color w:val="2E5395"/>
          <w:sz w:val="22"/>
          <w:szCs w:val="22"/>
        </w:rPr>
        <w:t xml:space="preserve"> </w:t>
      </w:r>
      <w:r w:rsidRPr="00063071">
        <w:rPr>
          <w:rFonts w:ascii="Calibri" w:hAnsi="Calibri" w:cs="Calibri"/>
          <w:b w:val="0"/>
          <w:color w:val="2E5395"/>
          <w:sz w:val="22"/>
          <w:szCs w:val="22"/>
        </w:rPr>
        <w:t>Αγοράς</w:t>
      </w:r>
      <w:r w:rsidRPr="00A63461">
        <w:rPr>
          <w:rFonts w:ascii="Calibri" w:hAnsi="Calibri" w:cs="Calibri"/>
          <w:b w:val="0"/>
          <w:color w:val="2E5395"/>
          <w:sz w:val="22"/>
          <w:szCs w:val="22"/>
        </w:rPr>
        <w:t xml:space="preserve"> </w:t>
      </w:r>
      <w:r w:rsidRPr="00063071">
        <w:rPr>
          <w:rFonts w:ascii="Calibri" w:hAnsi="Calibri" w:cs="Calibri"/>
          <w:b w:val="0"/>
          <w:color w:val="2E5395"/>
          <w:sz w:val="22"/>
          <w:szCs w:val="22"/>
        </w:rPr>
        <w:t>Αποδοτικού</w:t>
      </w:r>
      <w:r w:rsidRPr="00A63461">
        <w:rPr>
          <w:rFonts w:ascii="Calibri" w:hAnsi="Calibri" w:cs="Calibri"/>
          <w:b w:val="0"/>
          <w:color w:val="2E5395"/>
          <w:sz w:val="22"/>
          <w:szCs w:val="22"/>
        </w:rPr>
        <w:t xml:space="preserve"> Παρόχου</w:t>
      </w:r>
    </w:p>
    <w:p w14:paraId="48698F23" w14:textId="6CD1715D" w:rsidR="004014AE" w:rsidRPr="00CF67A0" w:rsidRDefault="00CF67A0" w:rsidP="004014AE">
      <w:pPr>
        <w:pStyle w:val="ab"/>
        <w:spacing w:before="143" w:line="259" w:lineRule="auto"/>
        <w:ind w:right="136"/>
        <w:rPr>
          <w:rFonts w:ascii="Calibri" w:hAnsi="Calibri" w:cs="Calibri"/>
          <w:sz w:val="22"/>
          <w:szCs w:val="22"/>
        </w:rPr>
      </w:pPr>
      <w:bookmarkStart w:id="3" w:name="2.4_Μερίδια_Αγοράς_Αποδοτικού_Παρόχου"/>
      <w:bookmarkEnd w:id="3"/>
      <w:r>
        <w:rPr>
          <w:rFonts w:ascii="Calibri" w:hAnsi="Calibri" w:cs="Calibri"/>
          <w:sz w:val="22"/>
          <w:szCs w:val="22"/>
        </w:rPr>
        <w:t>Τρεις</w:t>
      </w:r>
      <w:r w:rsidR="004014AE">
        <w:rPr>
          <w:rFonts w:ascii="Calibri" w:hAnsi="Calibri" w:cs="Calibri"/>
          <w:sz w:val="22"/>
          <w:szCs w:val="22"/>
        </w:rPr>
        <w:t xml:space="preserve"> συμμετέχοντες </w:t>
      </w:r>
      <w:r w:rsidR="004014AE" w:rsidRPr="003C28FC">
        <w:rPr>
          <w:rFonts w:ascii="Calibri" w:hAnsi="Calibri" w:cs="Calibri"/>
          <w:sz w:val="22"/>
          <w:szCs w:val="22"/>
        </w:rPr>
        <w:t>(</w:t>
      </w:r>
      <w:r w:rsidR="003C28FC" w:rsidRPr="003C28FC">
        <w:rPr>
          <w:rFonts w:ascii="Calibri" w:hAnsi="Calibri" w:cs="Calibri"/>
          <w:sz w:val="22"/>
          <w:szCs w:val="22"/>
        </w:rPr>
        <w:t>----</w:t>
      </w:r>
      <w:r w:rsidR="004014AE" w:rsidRPr="003C28FC">
        <w:rPr>
          <w:rFonts w:ascii="Calibri" w:hAnsi="Calibri" w:cs="Calibri"/>
          <w:sz w:val="22"/>
          <w:szCs w:val="22"/>
        </w:rPr>
        <w:t>)</w:t>
      </w:r>
      <w:r w:rsidR="004014AE" w:rsidRPr="00161C65">
        <w:rPr>
          <w:rFonts w:ascii="Calibri" w:hAnsi="Calibri" w:cs="Calibri"/>
          <w:sz w:val="22"/>
          <w:szCs w:val="22"/>
        </w:rPr>
        <w:t xml:space="preserve"> </w:t>
      </w:r>
      <w:r w:rsidR="004014AE">
        <w:rPr>
          <w:rFonts w:ascii="Calibri" w:hAnsi="Calibri" w:cs="Calibri"/>
          <w:sz w:val="22"/>
          <w:szCs w:val="22"/>
        </w:rPr>
        <w:t xml:space="preserve">διαφωνούν με την εξέλιξη του μεριδίου αγοράς και με την υπόθεση ότι </w:t>
      </w:r>
      <w:r w:rsidR="004014AE" w:rsidRPr="00063071">
        <w:rPr>
          <w:rFonts w:ascii="Calibri" w:hAnsi="Calibri" w:cs="Calibri"/>
          <w:sz w:val="22"/>
          <w:szCs w:val="22"/>
        </w:rPr>
        <w:t>στις περιοχές με επάλληλα δίκτυα</w:t>
      </w:r>
      <w:r w:rsidR="004014AE">
        <w:rPr>
          <w:rFonts w:ascii="Calibri" w:hAnsi="Calibri" w:cs="Calibri"/>
          <w:sz w:val="22"/>
          <w:szCs w:val="22"/>
        </w:rPr>
        <w:t xml:space="preserve">, </w:t>
      </w:r>
      <w:r w:rsidR="004014AE" w:rsidRPr="00063071">
        <w:rPr>
          <w:rFonts w:ascii="Calibri" w:hAnsi="Calibri" w:cs="Calibri"/>
          <w:sz w:val="22"/>
          <w:szCs w:val="22"/>
        </w:rPr>
        <w:t>που</w:t>
      </w:r>
      <w:r w:rsidR="004014AE" w:rsidRPr="00063071">
        <w:rPr>
          <w:rFonts w:ascii="Calibri" w:hAnsi="Calibri" w:cs="Calibri"/>
          <w:spacing w:val="-11"/>
          <w:sz w:val="22"/>
          <w:szCs w:val="22"/>
        </w:rPr>
        <w:t xml:space="preserve"> </w:t>
      </w:r>
      <w:r w:rsidR="004014AE" w:rsidRPr="00063071">
        <w:rPr>
          <w:rFonts w:ascii="Calibri" w:hAnsi="Calibri" w:cs="Calibri"/>
          <w:sz w:val="22"/>
          <w:szCs w:val="22"/>
        </w:rPr>
        <w:t>υπάρχει</w:t>
      </w:r>
      <w:r w:rsidR="004014AE" w:rsidRPr="00063071">
        <w:rPr>
          <w:rFonts w:ascii="Calibri" w:hAnsi="Calibri" w:cs="Calibri"/>
          <w:spacing w:val="-12"/>
          <w:sz w:val="22"/>
          <w:szCs w:val="22"/>
        </w:rPr>
        <w:t xml:space="preserve"> </w:t>
      </w:r>
      <w:r w:rsidR="004014AE" w:rsidRPr="00063071">
        <w:rPr>
          <w:rFonts w:ascii="Calibri" w:hAnsi="Calibri" w:cs="Calibri"/>
          <w:sz w:val="22"/>
          <w:szCs w:val="22"/>
        </w:rPr>
        <w:t>ανταγωνισμός</w:t>
      </w:r>
      <w:r w:rsidR="004014AE" w:rsidRPr="00063071">
        <w:rPr>
          <w:rFonts w:ascii="Calibri" w:hAnsi="Calibri" w:cs="Calibri"/>
          <w:spacing w:val="-9"/>
          <w:sz w:val="22"/>
          <w:szCs w:val="22"/>
        </w:rPr>
        <w:t xml:space="preserve"> </w:t>
      </w:r>
      <w:r w:rsidR="004014AE" w:rsidRPr="00063071">
        <w:rPr>
          <w:rFonts w:ascii="Calibri" w:hAnsi="Calibri" w:cs="Calibri"/>
          <w:sz w:val="22"/>
          <w:szCs w:val="22"/>
        </w:rPr>
        <w:t>σε</w:t>
      </w:r>
      <w:r w:rsidR="004014AE" w:rsidRPr="00063071">
        <w:rPr>
          <w:rFonts w:ascii="Calibri" w:hAnsi="Calibri" w:cs="Calibri"/>
          <w:spacing w:val="-9"/>
          <w:sz w:val="22"/>
          <w:szCs w:val="22"/>
        </w:rPr>
        <w:t xml:space="preserve"> </w:t>
      </w:r>
      <w:r w:rsidR="004014AE" w:rsidRPr="00063071">
        <w:rPr>
          <w:rFonts w:ascii="Calibri" w:hAnsi="Calibri" w:cs="Calibri"/>
          <w:sz w:val="22"/>
          <w:szCs w:val="22"/>
        </w:rPr>
        <w:t>επίπεδο</w:t>
      </w:r>
      <w:r w:rsidR="004014AE" w:rsidRPr="00063071">
        <w:rPr>
          <w:rFonts w:ascii="Calibri" w:hAnsi="Calibri" w:cs="Calibri"/>
          <w:spacing w:val="-8"/>
          <w:sz w:val="22"/>
          <w:szCs w:val="22"/>
        </w:rPr>
        <w:t xml:space="preserve"> </w:t>
      </w:r>
      <w:r w:rsidR="004014AE" w:rsidRPr="00063071">
        <w:rPr>
          <w:rFonts w:ascii="Calibri" w:hAnsi="Calibri" w:cs="Calibri"/>
          <w:sz w:val="22"/>
          <w:szCs w:val="22"/>
        </w:rPr>
        <w:t>δικτύων</w:t>
      </w:r>
      <w:r w:rsidR="004014AE" w:rsidRPr="00063071">
        <w:rPr>
          <w:rFonts w:ascii="Calibri" w:hAnsi="Calibri" w:cs="Calibri"/>
          <w:spacing w:val="-10"/>
          <w:sz w:val="22"/>
          <w:szCs w:val="22"/>
        </w:rPr>
        <w:t xml:space="preserve"> </w:t>
      </w:r>
      <w:r w:rsidR="004014AE" w:rsidRPr="00063071">
        <w:rPr>
          <w:rFonts w:ascii="Calibri" w:hAnsi="Calibri" w:cs="Calibri"/>
          <w:sz w:val="22"/>
          <w:szCs w:val="22"/>
        </w:rPr>
        <w:t>φυσικής</w:t>
      </w:r>
      <w:r w:rsidR="004014AE" w:rsidRPr="00063071">
        <w:rPr>
          <w:rFonts w:ascii="Calibri" w:hAnsi="Calibri" w:cs="Calibri"/>
          <w:spacing w:val="-8"/>
          <w:sz w:val="22"/>
          <w:szCs w:val="22"/>
        </w:rPr>
        <w:t xml:space="preserve"> </w:t>
      </w:r>
      <w:r w:rsidR="004014AE" w:rsidRPr="00063071">
        <w:rPr>
          <w:rFonts w:ascii="Calibri" w:hAnsi="Calibri" w:cs="Calibri"/>
          <w:sz w:val="22"/>
          <w:szCs w:val="22"/>
        </w:rPr>
        <w:t>πρόσβασης</w:t>
      </w:r>
      <w:r w:rsidR="004014AE">
        <w:rPr>
          <w:rFonts w:ascii="Calibri" w:hAnsi="Calibri" w:cs="Calibri"/>
          <w:sz w:val="22"/>
          <w:szCs w:val="22"/>
        </w:rPr>
        <w:t>,</w:t>
      </w:r>
      <w:r w:rsidR="004014AE" w:rsidRPr="00063071">
        <w:rPr>
          <w:rFonts w:ascii="Calibri" w:hAnsi="Calibri" w:cs="Calibri"/>
          <w:spacing w:val="-11"/>
          <w:sz w:val="22"/>
          <w:szCs w:val="22"/>
        </w:rPr>
        <w:t xml:space="preserve"> </w:t>
      </w:r>
      <w:r w:rsidR="004014AE">
        <w:rPr>
          <w:rFonts w:ascii="Calibri" w:hAnsi="Calibri" w:cs="Calibri"/>
          <w:sz w:val="22"/>
          <w:szCs w:val="22"/>
        </w:rPr>
        <w:t>ο</w:t>
      </w:r>
      <w:r w:rsidR="004014AE" w:rsidRPr="00063071">
        <w:rPr>
          <w:rFonts w:ascii="Calibri" w:hAnsi="Calibri" w:cs="Calibri"/>
          <w:sz w:val="22"/>
          <w:szCs w:val="22"/>
        </w:rPr>
        <w:t xml:space="preserve"> Αποδοτικός Πάροχος θα διατηρήσει το μερίδιο αγοράς του </w:t>
      </w:r>
      <w:r w:rsidR="004014AE" w:rsidRPr="00063071">
        <w:rPr>
          <w:rFonts w:ascii="Calibri" w:hAnsi="Calibri" w:cs="Calibri"/>
          <w:sz w:val="22"/>
          <w:szCs w:val="22"/>
        </w:rPr>
        <w:lastRenderedPageBreak/>
        <w:t>στις γραμμές αυτοπαροχής του</w:t>
      </w:r>
      <w:r w:rsidRPr="00CF67A0">
        <w:rPr>
          <w:rFonts w:ascii="Calibri" w:hAnsi="Calibri" w:cs="Calibri"/>
          <w:sz w:val="22"/>
          <w:szCs w:val="22"/>
        </w:rPr>
        <w:t xml:space="preserve">, </w:t>
      </w:r>
      <w:r>
        <w:rPr>
          <w:rFonts w:ascii="Calibri" w:hAnsi="Calibri" w:cs="Calibri"/>
          <w:sz w:val="22"/>
          <w:szCs w:val="22"/>
        </w:rPr>
        <w:t>προβλέποντας ότι προβλεπόμενο μερίδιο αγοράς 90% δύναται να φτάσει πριν από το 2030.</w:t>
      </w:r>
    </w:p>
    <w:p w14:paraId="14A51D9E" w14:textId="482CE3A4" w:rsidR="004014AE" w:rsidRPr="001F4475" w:rsidRDefault="004014AE"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προτείνει να οριστεί για τον μοντελοποιημένο πάροχο, μερίδιο αγοράς 77%, μέχρι το </w:t>
      </w:r>
      <w:r w:rsidRPr="001F4475">
        <w:rPr>
          <w:rFonts w:ascii="Calibri" w:hAnsi="Calibri" w:cs="Calibri"/>
          <w:sz w:val="22"/>
          <w:szCs w:val="22"/>
        </w:rPr>
        <w:t>2030</w:t>
      </w:r>
      <w:r>
        <w:rPr>
          <w:rFonts w:ascii="Calibri" w:hAnsi="Calibri" w:cs="Calibri"/>
          <w:sz w:val="22"/>
          <w:szCs w:val="22"/>
        </w:rPr>
        <w:t>.</w:t>
      </w:r>
      <w:r>
        <w:rPr>
          <w:rFonts w:ascii="Calibri" w:hAnsi="Calibri" w:cs="Calibri"/>
          <w:sz w:val="22"/>
          <w:szCs w:val="22"/>
        </w:rPr>
        <w:tab/>
      </w:r>
    </w:p>
    <w:p w14:paraId="1D6DE48F" w14:textId="4388D08D" w:rsidR="004014AE" w:rsidRDefault="004014AE"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προτείνει για τις περιοχές με επάλληλα δίκτυα, ο μοντελοποιημένος πάροχος να έχει </w:t>
      </w:r>
      <w:r w:rsidRPr="00063071">
        <w:rPr>
          <w:rFonts w:ascii="Calibri" w:hAnsi="Calibri" w:cs="Calibri"/>
          <w:sz w:val="22"/>
          <w:szCs w:val="22"/>
        </w:rPr>
        <w:t xml:space="preserve">μέγιστο 1/Ν της συνολικής αγοράς όπου Ν το πλήθος των Παρόχων που παρέχουν υπηρεσίες χονδρικής. </w:t>
      </w:r>
      <w:r>
        <w:rPr>
          <w:rFonts w:ascii="Calibri" w:hAnsi="Calibri" w:cs="Calibri"/>
          <w:sz w:val="22"/>
          <w:szCs w:val="22"/>
        </w:rPr>
        <w:t xml:space="preserve"> </w:t>
      </w:r>
      <w:r w:rsidRPr="00D27F23">
        <w:rPr>
          <w:rFonts w:ascii="Calibri" w:hAnsi="Calibri" w:cs="Calibri"/>
          <w:sz w:val="22"/>
          <w:szCs w:val="22"/>
        </w:rPr>
        <w:t>Για την ενδοκτιριακή καλωδίωση, το μερίδιο πρέπει να διαφοροποιείται καθώς ο αρχικός πάροχος έχει ήδη μεγαλύτερη κάλυψη</w:t>
      </w:r>
      <w:r>
        <w:rPr>
          <w:rFonts w:ascii="Calibri" w:hAnsi="Calibri" w:cs="Calibri"/>
          <w:sz w:val="22"/>
          <w:szCs w:val="22"/>
        </w:rPr>
        <w:t>.</w:t>
      </w:r>
      <w:bookmarkStart w:id="4" w:name="2.5_Διείσδυση_Υπηρεσιών"/>
      <w:bookmarkEnd w:id="4"/>
    </w:p>
    <w:p w14:paraId="6BADDFF5" w14:textId="43532127" w:rsidR="00C60354" w:rsidRPr="00C60354" w:rsidRDefault="00C60354" w:rsidP="00C60354">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sidRPr="00C60354">
        <w:rPr>
          <w:rFonts w:ascii="Calibri" w:hAnsi="Calibri" w:cs="Calibri"/>
          <w:sz w:val="22"/>
          <w:szCs w:val="22"/>
        </w:rPr>
        <w:t xml:space="preserve"> </w:t>
      </w:r>
      <w:r>
        <w:rPr>
          <w:rFonts w:ascii="Calibri" w:hAnsi="Calibri" w:cs="Calibri"/>
          <w:sz w:val="22"/>
          <w:szCs w:val="22"/>
        </w:rPr>
        <w:t xml:space="preserve">διαφωνεί </w:t>
      </w:r>
      <w:r w:rsidRPr="00C60354">
        <w:rPr>
          <w:rFonts w:ascii="Calibri" w:hAnsi="Calibri" w:cs="Calibri"/>
          <w:sz w:val="22"/>
          <w:szCs w:val="22"/>
        </w:rPr>
        <w:t xml:space="preserve">με τη μείωση του μεριδίου αγοράς του αποδοτικού παρόχου. Εάν παρόλα αυτά η ΕΕΤΤ εμμένει στη θέση της ως προς το μερίδιο του, </w:t>
      </w:r>
      <w:r>
        <w:rPr>
          <w:rFonts w:ascii="Calibri" w:hAnsi="Calibri" w:cs="Calibri"/>
          <w:sz w:val="22"/>
          <w:szCs w:val="22"/>
        </w:rPr>
        <w:t xml:space="preserve">αναφέρει ότι θα πρέπει να αξιολογηθεί και αντίστοιχη μείωση </w:t>
      </w:r>
      <w:r w:rsidRPr="00C60354">
        <w:rPr>
          <w:rFonts w:ascii="Calibri" w:hAnsi="Calibri" w:cs="Calibri"/>
          <w:sz w:val="22"/>
          <w:szCs w:val="22"/>
        </w:rPr>
        <w:t xml:space="preserve">στο κόστος κατασκευής του δικτύου FTTH, </w:t>
      </w:r>
      <w:r>
        <w:rPr>
          <w:rFonts w:ascii="Calibri" w:hAnsi="Calibri" w:cs="Calibri"/>
          <w:sz w:val="22"/>
          <w:szCs w:val="22"/>
        </w:rPr>
        <w:t xml:space="preserve">καθώς η </w:t>
      </w:r>
      <w:r w:rsidRPr="00C60354">
        <w:rPr>
          <w:rFonts w:ascii="Calibri" w:hAnsi="Calibri" w:cs="Calibri"/>
          <w:sz w:val="22"/>
          <w:szCs w:val="22"/>
        </w:rPr>
        <w:t xml:space="preserve">απώλεια μεριδίου του μοντελοποιημένου Παρόχου ενόψει της ανταγωνιστικής πίεσης που θα δεχθεί και </w:t>
      </w:r>
      <w:r>
        <w:rPr>
          <w:rFonts w:ascii="Calibri" w:hAnsi="Calibri" w:cs="Calibri"/>
          <w:sz w:val="22"/>
          <w:szCs w:val="22"/>
        </w:rPr>
        <w:t xml:space="preserve">ο αντίστοιχος </w:t>
      </w:r>
      <w:r w:rsidRPr="00C60354">
        <w:rPr>
          <w:rFonts w:ascii="Calibri" w:hAnsi="Calibri" w:cs="Calibri"/>
          <w:sz w:val="22"/>
          <w:szCs w:val="22"/>
        </w:rPr>
        <w:t>εξορθολογισμό</w:t>
      </w:r>
      <w:r>
        <w:rPr>
          <w:rFonts w:ascii="Calibri" w:hAnsi="Calibri" w:cs="Calibri"/>
          <w:sz w:val="22"/>
          <w:szCs w:val="22"/>
        </w:rPr>
        <w:t>ς</w:t>
      </w:r>
      <w:r w:rsidRPr="00C60354">
        <w:rPr>
          <w:rFonts w:ascii="Calibri" w:hAnsi="Calibri" w:cs="Calibri"/>
          <w:sz w:val="22"/>
          <w:szCs w:val="22"/>
        </w:rPr>
        <w:t xml:space="preserve"> του σχετικού κόστους του, </w:t>
      </w:r>
      <w:r>
        <w:rPr>
          <w:rFonts w:ascii="Calibri" w:hAnsi="Calibri" w:cs="Calibri"/>
          <w:sz w:val="22"/>
          <w:szCs w:val="22"/>
        </w:rPr>
        <w:t>δύναται</w:t>
      </w:r>
      <w:r w:rsidRPr="00C60354">
        <w:rPr>
          <w:rFonts w:ascii="Calibri" w:hAnsi="Calibri" w:cs="Calibri"/>
          <w:sz w:val="22"/>
          <w:szCs w:val="22"/>
        </w:rPr>
        <w:t xml:space="preserve"> να οδηγήσει στη μείωσή του για τους εξής λόγους: </w:t>
      </w:r>
    </w:p>
    <w:p w14:paraId="0875A6CE" w14:textId="3CAF88D6" w:rsidR="00C60354" w:rsidRPr="00C60354" w:rsidRDefault="00C60354" w:rsidP="00392B3A">
      <w:pPr>
        <w:pStyle w:val="ab"/>
        <w:numPr>
          <w:ilvl w:val="0"/>
          <w:numId w:val="7"/>
        </w:numPr>
        <w:spacing w:before="143" w:line="259" w:lineRule="auto"/>
        <w:ind w:right="136"/>
        <w:rPr>
          <w:rFonts w:ascii="Calibri" w:hAnsi="Calibri" w:cs="Calibri"/>
          <w:sz w:val="22"/>
          <w:szCs w:val="22"/>
        </w:rPr>
      </w:pPr>
      <w:r w:rsidRPr="00C60354">
        <w:rPr>
          <w:rFonts w:ascii="Calibri" w:hAnsi="Calibri" w:cs="Calibri"/>
          <w:sz w:val="22"/>
          <w:szCs w:val="22"/>
        </w:rPr>
        <w:t>Στις περιπτώσεις μονοκατοικιών και πολυκατοικιών όπου η κάθετη καλωδίωση δεν είναι απαιτούμενη, ο μοντελοποιημένος Πάροχος δε θα προχωρά σε σύνδεσή τους, όταν ο ανταγωνισμός έχει μερίδιο αγοράς</w:t>
      </w:r>
      <w:r>
        <w:rPr>
          <w:rFonts w:ascii="Calibri" w:hAnsi="Calibri" w:cs="Calibri"/>
          <w:sz w:val="22"/>
          <w:szCs w:val="22"/>
        </w:rPr>
        <w:t>.</w:t>
      </w:r>
      <w:r w:rsidRPr="00C60354">
        <w:rPr>
          <w:rFonts w:ascii="Calibri" w:hAnsi="Calibri" w:cs="Calibri"/>
          <w:sz w:val="22"/>
          <w:szCs w:val="22"/>
        </w:rPr>
        <w:t xml:space="preserve">  </w:t>
      </w:r>
    </w:p>
    <w:p w14:paraId="248CE436" w14:textId="77777777" w:rsidR="00C60354" w:rsidRPr="00C60354" w:rsidRDefault="00C60354" w:rsidP="00392B3A">
      <w:pPr>
        <w:pStyle w:val="ab"/>
        <w:numPr>
          <w:ilvl w:val="0"/>
          <w:numId w:val="7"/>
        </w:numPr>
        <w:spacing w:before="143" w:line="259" w:lineRule="auto"/>
        <w:ind w:right="136"/>
        <w:rPr>
          <w:rFonts w:ascii="Calibri" w:hAnsi="Calibri" w:cs="Calibri"/>
          <w:sz w:val="22"/>
          <w:szCs w:val="22"/>
        </w:rPr>
      </w:pPr>
      <w:r w:rsidRPr="00C60354">
        <w:rPr>
          <w:rFonts w:ascii="Calibri" w:hAnsi="Calibri" w:cs="Calibri"/>
          <w:sz w:val="22"/>
          <w:szCs w:val="22"/>
        </w:rPr>
        <w:t xml:space="preserve">Στις περιπτώσεις πολυκατοικιών όπου απαιτείται η κατασκευή κάθετης καλωδίωσης, </w:t>
      </w:r>
    </w:p>
    <w:p w14:paraId="4C1BA802" w14:textId="77777777" w:rsidR="00C60354" w:rsidRPr="00C60354" w:rsidRDefault="00C60354" w:rsidP="00392B3A">
      <w:pPr>
        <w:pStyle w:val="ab"/>
        <w:numPr>
          <w:ilvl w:val="1"/>
          <w:numId w:val="7"/>
        </w:numPr>
        <w:spacing w:before="143" w:line="259" w:lineRule="auto"/>
        <w:ind w:right="136"/>
        <w:rPr>
          <w:rFonts w:ascii="Calibri" w:hAnsi="Calibri" w:cs="Calibri"/>
          <w:sz w:val="22"/>
          <w:szCs w:val="22"/>
        </w:rPr>
      </w:pPr>
      <w:r w:rsidRPr="00C60354">
        <w:rPr>
          <w:rFonts w:ascii="Calibri" w:hAnsi="Calibri" w:cs="Calibri"/>
          <w:sz w:val="22"/>
          <w:szCs w:val="22"/>
        </w:rPr>
        <w:t xml:space="preserve">σε ορισμένες περιπτώσεις ο μοντελοποιημένος πάροχος δε θα προχωρά σε σύνδεση του κτιρίου, εξαιτίας έλλειψης συνδρομητών </w:t>
      </w:r>
    </w:p>
    <w:p w14:paraId="5C093E00" w14:textId="77777777" w:rsidR="00C60354" w:rsidRPr="00C60354" w:rsidRDefault="00C60354" w:rsidP="00392B3A">
      <w:pPr>
        <w:pStyle w:val="ab"/>
        <w:numPr>
          <w:ilvl w:val="1"/>
          <w:numId w:val="7"/>
        </w:numPr>
        <w:spacing w:before="143" w:line="259" w:lineRule="auto"/>
        <w:ind w:right="136"/>
        <w:rPr>
          <w:rFonts w:ascii="Calibri" w:hAnsi="Calibri" w:cs="Calibri"/>
          <w:sz w:val="22"/>
          <w:szCs w:val="22"/>
        </w:rPr>
      </w:pPr>
      <w:r w:rsidRPr="00C60354">
        <w:rPr>
          <w:rFonts w:ascii="Calibri" w:hAnsi="Calibri" w:cs="Calibri"/>
          <w:sz w:val="22"/>
          <w:szCs w:val="22"/>
        </w:rPr>
        <w:t xml:space="preserve">σε πολλές περιπτώσεις το κόστος σύνδεσης της κάθετης καλωδίωσης θα επιμερίζεται μεταξύ του μοντελοποιημένου </w:t>
      </w:r>
      <w:proofErr w:type="spellStart"/>
      <w:r w:rsidRPr="00C60354">
        <w:rPr>
          <w:rFonts w:ascii="Calibri" w:hAnsi="Calibri" w:cs="Calibri"/>
          <w:sz w:val="22"/>
          <w:szCs w:val="22"/>
        </w:rPr>
        <w:t>παροχου</w:t>
      </w:r>
      <w:proofErr w:type="spellEnd"/>
      <w:r w:rsidRPr="00C60354">
        <w:rPr>
          <w:rFonts w:ascii="Calibri" w:hAnsi="Calibri" w:cs="Calibri"/>
          <w:sz w:val="22"/>
          <w:szCs w:val="22"/>
        </w:rPr>
        <w:t xml:space="preserve"> και του παρόχου που αναπτύσσει εναλλακτική υποδομή, μέσω της κοινής χρήση της, όπως προβλέπει και η σχετική ΚΥΑ. Για αυτές τις περιπτώσεις, θα ήταν εύλογη η μείωση του σχετικού κόστους κατά 50%, υπό την θεώρηση ότι θα το επιβαρυνθεί ο πάροχος που αναπτύσσει την εναλλακτική υποδομή. </w:t>
      </w:r>
    </w:p>
    <w:p w14:paraId="2141C93B" w14:textId="049DCFDF" w:rsidR="004014AE" w:rsidRPr="0066490C" w:rsidRDefault="00AD6953" w:rsidP="00A63461">
      <w:pPr>
        <w:pStyle w:val="ab"/>
        <w:spacing w:before="143" w:line="259" w:lineRule="auto"/>
        <w:ind w:right="135"/>
        <w:rPr>
          <w:rFonts w:ascii="Calibri" w:hAnsi="Calibri" w:cs="Calibri"/>
          <w:sz w:val="22"/>
          <w:szCs w:val="22"/>
        </w:rPr>
      </w:pPr>
      <w:r w:rsidRPr="00573679">
        <w:rPr>
          <w:rFonts w:ascii="Calibri" w:hAnsi="Calibri" w:cs="Calibri"/>
          <w:sz w:val="22"/>
          <w:szCs w:val="22"/>
        </w:rPr>
        <w:t xml:space="preserve">Ένας συμμετέχων </w:t>
      </w:r>
      <w:r w:rsidR="003C28FC">
        <w:rPr>
          <w:rFonts w:ascii="Calibri" w:hAnsi="Calibri" w:cs="Calibri"/>
          <w:sz w:val="22"/>
          <w:szCs w:val="22"/>
        </w:rPr>
        <w:t>(----)</w:t>
      </w:r>
      <w:r w:rsidRPr="00573679">
        <w:rPr>
          <w:rFonts w:ascii="Calibri" w:hAnsi="Calibri" w:cs="Calibri"/>
          <w:sz w:val="22"/>
          <w:szCs w:val="22"/>
        </w:rPr>
        <w:t xml:space="preserve"> επισημαίνει </w:t>
      </w:r>
      <w:r>
        <w:rPr>
          <w:rFonts w:ascii="Calibri" w:hAnsi="Calibri" w:cs="Calibri"/>
          <w:sz w:val="22"/>
          <w:szCs w:val="22"/>
        </w:rPr>
        <w:t xml:space="preserve">ότι στις περιοχές με επάλληλα δίκτυα, </w:t>
      </w:r>
      <w:r w:rsidRPr="00AD6953">
        <w:rPr>
          <w:rFonts w:ascii="Calibri" w:hAnsi="Calibri" w:cs="Calibri"/>
          <w:sz w:val="22"/>
          <w:szCs w:val="22"/>
        </w:rPr>
        <w:t xml:space="preserve">κρίνεται εύλογο και προτείνεται το κόστος για τις εν λόγω υποδομές να μη </w:t>
      </w:r>
      <w:proofErr w:type="spellStart"/>
      <w:r w:rsidRPr="00AD6953">
        <w:rPr>
          <w:rFonts w:ascii="Calibri" w:hAnsi="Calibri" w:cs="Calibri"/>
          <w:sz w:val="22"/>
          <w:szCs w:val="22"/>
        </w:rPr>
        <w:t>μετακυλίεται</w:t>
      </w:r>
      <w:proofErr w:type="spellEnd"/>
      <w:r w:rsidRPr="00AD6953">
        <w:rPr>
          <w:rFonts w:ascii="Calibri" w:hAnsi="Calibri" w:cs="Calibri"/>
          <w:sz w:val="22"/>
          <w:szCs w:val="22"/>
        </w:rPr>
        <w:t xml:space="preserve"> εξ ολοκλήρου στ</w:t>
      </w:r>
      <w:r>
        <w:rPr>
          <w:rFonts w:ascii="Calibri" w:hAnsi="Calibri" w:cs="Calibri"/>
          <w:sz w:val="22"/>
          <w:szCs w:val="22"/>
        </w:rPr>
        <w:t xml:space="preserve">ο μοντελοποιημένο </w:t>
      </w:r>
      <w:r w:rsidRPr="00AD6953">
        <w:rPr>
          <w:rFonts w:ascii="Calibri" w:hAnsi="Calibri" w:cs="Calibri"/>
          <w:sz w:val="22"/>
          <w:szCs w:val="22"/>
        </w:rPr>
        <w:t xml:space="preserve">Πάροχο Υπηρεσίας, αλλά </w:t>
      </w:r>
      <w:r>
        <w:rPr>
          <w:rFonts w:ascii="Calibri" w:hAnsi="Calibri" w:cs="Calibri"/>
          <w:sz w:val="22"/>
          <w:szCs w:val="22"/>
        </w:rPr>
        <w:t>μόνο μερικώς,</w:t>
      </w:r>
      <w:r w:rsidRPr="00AD6953">
        <w:rPr>
          <w:rFonts w:ascii="Calibri" w:hAnsi="Calibri" w:cs="Calibri"/>
          <w:sz w:val="22"/>
          <w:szCs w:val="22"/>
        </w:rPr>
        <w:t xml:space="preserve"> βάσει και της διαχρονικής εξέλιξης του βαθμού επικάλυψης των δικτύων FTTH.</w:t>
      </w:r>
    </w:p>
    <w:p w14:paraId="45FB8695"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35AEE4D5" w14:textId="5A77EE3D"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661482">
        <w:rPr>
          <w:rFonts w:ascii="Calibri" w:hAnsi="Calibri" w:cs="Calibri"/>
          <w:b/>
          <w:color w:val="1F4E79" w:themeColor="accent1" w:themeShade="80"/>
          <w:sz w:val="22"/>
          <w:szCs w:val="22"/>
          <w:u w:val="single"/>
        </w:rPr>
        <w:t>4</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69A6BECA" w14:textId="120D8453" w:rsidR="00924019" w:rsidRDefault="00661482" w:rsidP="00A63461">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Λαμβάνοντας υπόψη τα σχόλια των συμμετεχόντων αλλά και τα νεότερα στοιχεία της αγοράς σχετικά με την πορεία υλοποιήσεων των δικτύων </w:t>
      </w:r>
      <w:r>
        <w:rPr>
          <w:rFonts w:ascii="Calibri" w:hAnsi="Calibri" w:cs="Calibri"/>
          <w:color w:val="1F4E79" w:themeColor="accent1" w:themeShade="80"/>
          <w:sz w:val="22"/>
          <w:szCs w:val="22"/>
          <w:lang w:val="en-US"/>
        </w:rPr>
        <w:t>FTTH</w:t>
      </w:r>
      <w:r>
        <w:rPr>
          <w:rFonts w:ascii="Calibri" w:hAnsi="Calibri" w:cs="Calibri"/>
          <w:color w:val="1F4E79" w:themeColor="accent1" w:themeShade="80"/>
          <w:sz w:val="22"/>
          <w:szCs w:val="22"/>
        </w:rPr>
        <w:t xml:space="preserve">, η ΕΕΤΤ θα τροποποιήσει το μερίδιο αγοράς του </w:t>
      </w:r>
      <w:r>
        <w:rPr>
          <w:rFonts w:ascii="Calibri" w:hAnsi="Calibri" w:cs="Calibri"/>
          <w:color w:val="1F4E79" w:themeColor="accent1" w:themeShade="80"/>
          <w:sz w:val="22"/>
          <w:szCs w:val="22"/>
          <w:lang w:val="en-US"/>
        </w:rPr>
        <w:t>FTTH</w:t>
      </w:r>
      <w:r>
        <w:rPr>
          <w:rFonts w:ascii="Calibri" w:hAnsi="Calibri" w:cs="Calibri"/>
          <w:color w:val="1F4E79" w:themeColor="accent1" w:themeShade="80"/>
          <w:sz w:val="22"/>
          <w:szCs w:val="22"/>
        </w:rPr>
        <w:t>, ώστε να φτάνει το 80% το 2030 βάσει της μεθοδολογία</w:t>
      </w:r>
      <w:r w:rsidR="00E976C1">
        <w:rPr>
          <w:rFonts w:ascii="Calibri" w:hAnsi="Calibri" w:cs="Calibri"/>
          <w:color w:val="1F4E79" w:themeColor="accent1" w:themeShade="80"/>
          <w:sz w:val="22"/>
          <w:szCs w:val="22"/>
        </w:rPr>
        <w:t>ς</w:t>
      </w:r>
      <w:r>
        <w:rPr>
          <w:rFonts w:ascii="Calibri" w:hAnsi="Calibri" w:cs="Calibri"/>
          <w:color w:val="1F4E79" w:themeColor="accent1" w:themeShade="80"/>
          <w:sz w:val="22"/>
          <w:szCs w:val="22"/>
        </w:rPr>
        <w:t xml:space="preserve"> που περιγράφεται στο κείμενο Αρχών. </w:t>
      </w:r>
      <w:r w:rsidR="00E976C1">
        <w:rPr>
          <w:rFonts w:ascii="Calibri" w:hAnsi="Calibri" w:cs="Calibri"/>
          <w:color w:val="1F4E79" w:themeColor="accent1" w:themeShade="80"/>
          <w:sz w:val="22"/>
          <w:szCs w:val="22"/>
        </w:rPr>
        <w:t xml:space="preserve">Επιπλέον, </w:t>
      </w:r>
      <w:r w:rsidR="00E976C1" w:rsidRPr="00E976C1">
        <w:rPr>
          <w:rFonts w:ascii="Calibri" w:hAnsi="Calibri" w:cs="Calibri"/>
          <w:color w:val="1F4E79" w:themeColor="accent1" w:themeShade="80"/>
          <w:sz w:val="22"/>
          <w:szCs w:val="22"/>
        </w:rPr>
        <w:t xml:space="preserve">η ΕΕΤΤ κρίνει </w:t>
      </w:r>
      <w:r w:rsidR="00E976C1">
        <w:rPr>
          <w:rFonts w:ascii="Calibri" w:hAnsi="Calibri" w:cs="Calibri"/>
          <w:color w:val="1F4E79" w:themeColor="accent1" w:themeShade="80"/>
          <w:sz w:val="22"/>
          <w:szCs w:val="22"/>
        </w:rPr>
        <w:t xml:space="preserve"> ότι η</w:t>
      </w:r>
      <w:r>
        <w:rPr>
          <w:rFonts w:ascii="Calibri" w:hAnsi="Calibri" w:cs="Calibri"/>
          <w:color w:val="1F4E79" w:themeColor="accent1" w:themeShade="80"/>
          <w:sz w:val="22"/>
          <w:szCs w:val="22"/>
        </w:rPr>
        <w:t xml:space="preserve"> πρόταση ενός συμμετέχοντα για αλλαγή της μεθοδολογίας με τη χρήση ενός λόγου 1/Ν, </w:t>
      </w:r>
      <w:r w:rsidR="007E5B41">
        <w:rPr>
          <w:rFonts w:ascii="Calibri" w:hAnsi="Calibri" w:cs="Calibri"/>
          <w:color w:val="1F4E79" w:themeColor="accent1" w:themeShade="80"/>
          <w:sz w:val="22"/>
          <w:szCs w:val="22"/>
        </w:rPr>
        <w:t xml:space="preserve">αποτελεί </w:t>
      </w:r>
      <w:proofErr w:type="spellStart"/>
      <w:r>
        <w:rPr>
          <w:rFonts w:ascii="Calibri" w:hAnsi="Calibri" w:cs="Calibri"/>
          <w:color w:val="1F4E79" w:themeColor="accent1" w:themeShade="80"/>
          <w:sz w:val="22"/>
          <w:szCs w:val="22"/>
        </w:rPr>
        <w:t>υπεραπλούστευση</w:t>
      </w:r>
      <w:proofErr w:type="spellEnd"/>
      <w:r>
        <w:rPr>
          <w:rFonts w:ascii="Calibri" w:hAnsi="Calibri" w:cs="Calibri"/>
          <w:color w:val="1F4E79" w:themeColor="accent1" w:themeShade="80"/>
          <w:sz w:val="22"/>
          <w:szCs w:val="22"/>
        </w:rPr>
        <w:t xml:space="preserve"> που αγνοεί την αυτοπαροχή στη διαμόρφωση του μεριδίου του αποδοτικού παρόχου.</w:t>
      </w:r>
      <w:r w:rsidR="007E5B41">
        <w:rPr>
          <w:rFonts w:ascii="Calibri" w:hAnsi="Calibri" w:cs="Calibri"/>
          <w:color w:val="1F4E79" w:themeColor="accent1" w:themeShade="80"/>
          <w:sz w:val="22"/>
          <w:szCs w:val="22"/>
        </w:rPr>
        <w:t xml:space="preserve"> Ως εκ τούτου</w:t>
      </w:r>
      <w:r w:rsidR="00E976C1">
        <w:rPr>
          <w:rFonts w:ascii="Calibri" w:hAnsi="Calibri" w:cs="Calibri"/>
          <w:color w:val="1F4E79" w:themeColor="accent1" w:themeShade="80"/>
          <w:sz w:val="22"/>
          <w:szCs w:val="22"/>
        </w:rPr>
        <w:t>,</w:t>
      </w:r>
      <w:r w:rsidR="007E5B41">
        <w:rPr>
          <w:rFonts w:ascii="Calibri" w:hAnsi="Calibri" w:cs="Calibri"/>
          <w:color w:val="1F4E79" w:themeColor="accent1" w:themeShade="80"/>
          <w:sz w:val="22"/>
          <w:szCs w:val="22"/>
        </w:rPr>
        <w:t xml:space="preserve"> εμμένει στη θέση της για τη διατήρηση της υπάρχουσας μεθοδολογίας.</w:t>
      </w:r>
    </w:p>
    <w:p w14:paraId="3FFF1D48" w14:textId="7FF5969F" w:rsidR="00661482" w:rsidRPr="00E976C1" w:rsidRDefault="00636123" w:rsidP="00A63461">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lastRenderedPageBreak/>
        <w:t>Σχετικά με την πρόταση ενός συμμετέχοντα για την κατασκευή της ενδοκτιριακής καλωδίωσης βάσει της ζήτησης, αντίστοιχη μέθοδος λαμβάνεται ήδη υπόψη στο μοντέλο με την έννοια των «</w:t>
      </w:r>
      <w:r>
        <w:rPr>
          <w:rFonts w:ascii="Calibri" w:hAnsi="Calibri" w:cs="Calibri"/>
          <w:color w:val="1F4E79" w:themeColor="accent1" w:themeShade="80"/>
          <w:sz w:val="22"/>
          <w:szCs w:val="22"/>
          <w:lang w:val="en-US"/>
        </w:rPr>
        <w:t>active</w:t>
      </w:r>
      <w:r w:rsidRPr="00636123">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MDUs</w:t>
      </w:r>
      <w:r>
        <w:rPr>
          <w:rFonts w:ascii="Calibri" w:hAnsi="Calibri" w:cs="Calibri"/>
          <w:color w:val="1F4E79" w:themeColor="accent1" w:themeShade="80"/>
          <w:sz w:val="22"/>
          <w:szCs w:val="22"/>
        </w:rPr>
        <w:t>» και «</w:t>
      </w:r>
      <w:r>
        <w:rPr>
          <w:rFonts w:ascii="Calibri" w:hAnsi="Calibri" w:cs="Calibri"/>
          <w:color w:val="1F4E79" w:themeColor="accent1" w:themeShade="80"/>
          <w:sz w:val="22"/>
          <w:szCs w:val="22"/>
          <w:lang w:val="en-US"/>
        </w:rPr>
        <w:t>active</w:t>
      </w:r>
      <w:r w:rsidRPr="00636123">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SDUs</w:t>
      </w:r>
      <w:r>
        <w:rPr>
          <w:rFonts w:ascii="Calibri" w:hAnsi="Calibri" w:cs="Calibri"/>
          <w:color w:val="1F4E79" w:themeColor="accent1" w:themeShade="80"/>
          <w:sz w:val="22"/>
          <w:szCs w:val="22"/>
        </w:rPr>
        <w:t>».</w:t>
      </w:r>
      <w:r w:rsidR="00E976C1">
        <w:rPr>
          <w:rFonts w:ascii="Calibri" w:hAnsi="Calibri" w:cs="Calibri"/>
          <w:color w:val="1F4E79" w:themeColor="accent1" w:themeShade="80"/>
          <w:sz w:val="22"/>
          <w:szCs w:val="22"/>
        </w:rPr>
        <w:t xml:space="preserve"> Επιπρόσθετα, η ΕΕΤΤ λαμβάνοντας υπόψη τα σχόλια του συμμετεχόντων για την κοινή χρήση της υποδομής στην περίπτωση κατασκευής της κάθετης καλωδίωσης βάσει της ΚΥΑ, θα τροποποιήσει τα αντίστοιχα τέλη </w:t>
      </w:r>
      <w:r w:rsidR="00E976C1">
        <w:rPr>
          <w:rFonts w:ascii="Calibri" w:hAnsi="Calibri" w:cs="Calibri"/>
          <w:color w:val="1F4E79" w:themeColor="accent1" w:themeShade="80"/>
          <w:sz w:val="22"/>
          <w:szCs w:val="22"/>
          <w:lang w:val="en-US"/>
        </w:rPr>
        <w:t>Floor</w:t>
      </w:r>
      <w:r w:rsidR="00E976C1" w:rsidRPr="00E976C1">
        <w:rPr>
          <w:rFonts w:ascii="Calibri" w:hAnsi="Calibri" w:cs="Calibri"/>
          <w:color w:val="1F4E79" w:themeColor="accent1" w:themeShade="80"/>
          <w:sz w:val="22"/>
          <w:szCs w:val="22"/>
        </w:rPr>
        <w:t xml:space="preserve"> </w:t>
      </w:r>
      <w:r w:rsidR="00E976C1">
        <w:rPr>
          <w:rFonts w:ascii="Calibri" w:hAnsi="Calibri" w:cs="Calibri"/>
          <w:color w:val="1F4E79" w:themeColor="accent1" w:themeShade="80"/>
          <w:sz w:val="22"/>
          <w:szCs w:val="22"/>
          <w:lang w:val="en-US"/>
        </w:rPr>
        <w:t>Box</w:t>
      </w:r>
      <w:r w:rsidR="00E976C1">
        <w:rPr>
          <w:rFonts w:ascii="Calibri" w:hAnsi="Calibri" w:cs="Calibri"/>
          <w:color w:val="1F4E79" w:themeColor="accent1" w:themeShade="80"/>
          <w:sz w:val="22"/>
          <w:szCs w:val="22"/>
        </w:rPr>
        <w:t>,</w:t>
      </w:r>
      <w:r w:rsidR="00E976C1" w:rsidRPr="00E976C1">
        <w:rPr>
          <w:rFonts w:ascii="Calibri" w:hAnsi="Calibri" w:cs="Calibri"/>
          <w:color w:val="1F4E79" w:themeColor="accent1" w:themeShade="80"/>
          <w:sz w:val="22"/>
          <w:szCs w:val="22"/>
        </w:rPr>
        <w:t xml:space="preserve"> </w:t>
      </w:r>
      <w:r w:rsidR="00E976C1">
        <w:rPr>
          <w:rFonts w:ascii="Calibri" w:hAnsi="Calibri" w:cs="Calibri"/>
          <w:color w:val="1F4E79" w:themeColor="accent1" w:themeShade="80"/>
          <w:sz w:val="22"/>
          <w:szCs w:val="22"/>
        </w:rPr>
        <w:t xml:space="preserve">ώστε να μην επηρεάζονται από το μερίδιο αγοράς του αποδοτικού παρόχου. Δεδομένου ότι ο αποδοτικός πάροχος θα μοιραστεί κοστοστρεφώς την εν λόγω υποδομή, δεν αναμένεται να επωμιστεί επιπρόσθετο κόστος και άρα τα αντίστοιχα τέλη </w:t>
      </w:r>
      <w:r w:rsidR="00E976C1">
        <w:rPr>
          <w:rFonts w:ascii="Calibri" w:hAnsi="Calibri" w:cs="Calibri"/>
          <w:color w:val="1F4E79" w:themeColor="accent1" w:themeShade="80"/>
          <w:sz w:val="22"/>
          <w:szCs w:val="22"/>
          <w:lang w:val="en-US"/>
        </w:rPr>
        <w:t>Floor</w:t>
      </w:r>
      <w:r w:rsidR="00E976C1" w:rsidRPr="00E976C1">
        <w:rPr>
          <w:rFonts w:ascii="Calibri" w:hAnsi="Calibri" w:cs="Calibri"/>
          <w:color w:val="1F4E79" w:themeColor="accent1" w:themeShade="80"/>
          <w:sz w:val="22"/>
          <w:szCs w:val="22"/>
        </w:rPr>
        <w:t xml:space="preserve"> </w:t>
      </w:r>
      <w:r w:rsidR="00E976C1">
        <w:rPr>
          <w:rFonts w:ascii="Calibri" w:hAnsi="Calibri" w:cs="Calibri"/>
          <w:color w:val="1F4E79" w:themeColor="accent1" w:themeShade="80"/>
          <w:sz w:val="22"/>
          <w:szCs w:val="22"/>
          <w:lang w:val="en-US"/>
        </w:rPr>
        <w:t>Box</w:t>
      </w:r>
      <w:r w:rsidR="00E976C1" w:rsidRPr="00E976C1">
        <w:rPr>
          <w:rFonts w:ascii="Calibri" w:hAnsi="Calibri" w:cs="Calibri"/>
          <w:color w:val="1F4E79" w:themeColor="accent1" w:themeShade="80"/>
          <w:sz w:val="22"/>
          <w:szCs w:val="22"/>
        </w:rPr>
        <w:t xml:space="preserve"> </w:t>
      </w:r>
      <w:r w:rsidR="00E976C1">
        <w:rPr>
          <w:rFonts w:ascii="Calibri" w:hAnsi="Calibri" w:cs="Calibri"/>
          <w:color w:val="1F4E79" w:themeColor="accent1" w:themeShade="80"/>
          <w:sz w:val="22"/>
          <w:szCs w:val="22"/>
        </w:rPr>
        <w:t xml:space="preserve">δεν αναμένεται να επηρεαστούν από το μερίδιο αγοράς.  </w:t>
      </w:r>
    </w:p>
    <w:p w14:paraId="35591607" w14:textId="77777777" w:rsidR="00924019" w:rsidRPr="000B62B0" w:rsidRDefault="00924019" w:rsidP="00A63461">
      <w:pPr>
        <w:pStyle w:val="ab"/>
        <w:spacing w:before="143" w:line="259" w:lineRule="auto"/>
        <w:ind w:right="135"/>
        <w:rPr>
          <w:rFonts w:ascii="Calibri" w:hAnsi="Calibri" w:cs="Calibri"/>
          <w:sz w:val="22"/>
          <w:szCs w:val="22"/>
        </w:rPr>
      </w:pPr>
    </w:p>
    <w:p w14:paraId="33D2DCDF" w14:textId="02C1B18F" w:rsidR="004014AE" w:rsidRPr="006D0826" w:rsidRDefault="004014AE" w:rsidP="00392B3A">
      <w:pPr>
        <w:pStyle w:val="2"/>
        <w:keepNext w:val="0"/>
        <w:widowControl w:val="0"/>
        <w:numPr>
          <w:ilvl w:val="1"/>
          <w:numId w:val="6"/>
        </w:numPr>
        <w:tabs>
          <w:tab w:val="left" w:pos="722"/>
        </w:tabs>
        <w:autoSpaceDE w:val="0"/>
        <w:autoSpaceDN w:val="0"/>
        <w:spacing w:line="240" w:lineRule="auto"/>
        <w:jc w:val="both"/>
        <w:rPr>
          <w:rFonts w:ascii="Calibri" w:hAnsi="Calibri" w:cs="Calibri"/>
          <w:b w:val="0"/>
          <w:color w:val="2E5395"/>
          <w:sz w:val="22"/>
          <w:szCs w:val="22"/>
        </w:rPr>
      </w:pPr>
      <w:r w:rsidRPr="00063071">
        <w:rPr>
          <w:rFonts w:ascii="Calibri" w:hAnsi="Calibri" w:cs="Calibri"/>
          <w:b w:val="0"/>
          <w:color w:val="2E5395"/>
          <w:sz w:val="22"/>
          <w:szCs w:val="22"/>
        </w:rPr>
        <w:t>Κίνηση</w:t>
      </w:r>
      <w:r w:rsidRPr="006D0826">
        <w:rPr>
          <w:rFonts w:ascii="Calibri" w:hAnsi="Calibri" w:cs="Calibri"/>
          <w:b w:val="0"/>
          <w:color w:val="2E5395"/>
          <w:sz w:val="22"/>
          <w:szCs w:val="22"/>
        </w:rPr>
        <w:t xml:space="preserve"> </w:t>
      </w:r>
      <w:r w:rsidRPr="00063071">
        <w:rPr>
          <w:rFonts w:ascii="Calibri" w:hAnsi="Calibri" w:cs="Calibri"/>
          <w:b w:val="0"/>
          <w:color w:val="2E5395"/>
          <w:sz w:val="22"/>
          <w:szCs w:val="22"/>
        </w:rPr>
        <w:t>–</w:t>
      </w:r>
      <w:r w:rsidRPr="006D0826">
        <w:rPr>
          <w:rFonts w:ascii="Calibri" w:hAnsi="Calibri" w:cs="Calibri"/>
          <w:b w:val="0"/>
          <w:color w:val="2E5395"/>
          <w:sz w:val="22"/>
          <w:szCs w:val="22"/>
        </w:rPr>
        <w:t xml:space="preserve"> </w:t>
      </w:r>
      <w:r w:rsidRPr="00063071">
        <w:rPr>
          <w:rFonts w:ascii="Calibri" w:hAnsi="Calibri" w:cs="Calibri"/>
          <w:b w:val="0"/>
          <w:color w:val="2E5395"/>
          <w:sz w:val="22"/>
          <w:szCs w:val="22"/>
        </w:rPr>
        <w:t>Χρήση</w:t>
      </w:r>
      <w:r w:rsidRPr="006D0826">
        <w:rPr>
          <w:rFonts w:ascii="Calibri" w:hAnsi="Calibri" w:cs="Calibri"/>
          <w:b w:val="0"/>
          <w:color w:val="2E5395"/>
          <w:sz w:val="22"/>
          <w:szCs w:val="22"/>
        </w:rPr>
        <w:t xml:space="preserve"> Δικτύου</w:t>
      </w:r>
    </w:p>
    <w:p w14:paraId="3B702204" w14:textId="2F2F0BC6" w:rsidR="004014AE" w:rsidRDefault="004014AE"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sidRPr="00F91EB1">
        <w:rPr>
          <w:rFonts w:ascii="Calibri" w:hAnsi="Calibri" w:cs="Calibri"/>
          <w:sz w:val="22"/>
          <w:szCs w:val="22"/>
        </w:rPr>
        <w:t xml:space="preserve"> επισημαίνει ότι </w:t>
      </w:r>
      <w:r>
        <w:rPr>
          <w:rFonts w:ascii="Calibri" w:hAnsi="Calibri" w:cs="Calibri"/>
          <w:sz w:val="22"/>
          <w:szCs w:val="22"/>
        </w:rPr>
        <w:t xml:space="preserve">η ΕΕΤΤ χρησιμοποιεί </w:t>
      </w:r>
      <w:r w:rsidRPr="00F91EB1">
        <w:rPr>
          <w:rFonts w:ascii="Calibri" w:hAnsi="Calibri" w:cs="Calibri"/>
          <w:sz w:val="22"/>
          <w:szCs w:val="22"/>
        </w:rPr>
        <w:t>υπεραισιόδοξες παραδοχές ζήτησης για τα δίκτυα FTTH, FTTC και χαλκού — όπως η υπερεκτίμηση της διείσδυσης FTTH (27% πραγματική έναντι υψηλότερης υπόθεσης) και υπηρεσιών 1 Gbps (0,51% έναντι 3,1%)</w:t>
      </w:r>
      <w:r>
        <w:rPr>
          <w:rFonts w:ascii="Calibri" w:hAnsi="Calibri" w:cs="Calibri"/>
          <w:sz w:val="22"/>
          <w:szCs w:val="22"/>
        </w:rPr>
        <w:t xml:space="preserve">, με αποτέλεσμα τη </w:t>
      </w:r>
      <w:r w:rsidRPr="00F91EB1">
        <w:rPr>
          <w:rFonts w:ascii="Calibri" w:hAnsi="Calibri" w:cs="Calibri"/>
          <w:sz w:val="22"/>
          <w:szCs w:val="22"/>
        </w:rPr>
        <w:t xml:space="preserve">συστηματική </w:t>
      </w:r>
      <w:proofErr w:type="spellStart"/>
      <w:r w:rsidRPr="00F91EB1">
        <w:rPr>
          <w:rFonts w:ascii="Calibri" w:hAnsi="Calibri" w:cs="Calibri"/>
          <w:sz w:val="22"/>
          <w:szCs w:val="22"/>
        </w:rPr>
        <w:t>υποανάκτηση</w:t>
      </w:r>
      <w:proofErr w:type="spellEnd"/>
      <w:r w:rsidRPr="00F91EB1">
        <w:rPr>
          <w:rFonts w:ascii="Calibri" w:hAnsi="Calibri" w:cs="Calibri"/>
          <w:sz w:val="22"/>
          <w:szCs w:val="22"/>
        </w:rPr>
        <w:t xml:space="preserve"> κόστους για τους παρόχους. Η ταυτόχρονη παρουσία τριών τεχνολογιών πρόσβασης στις ίδιες περιοχές προκαλεί κατακερματισμό της βάσης συνδρομητών και μείωση των εσόδων ανά δίκτυο, ιδιαίτερα όταν διαφορετικοί πάροχοι λειτουργούν τα δίκτυα χαλκού, FTTC και FTTH. Έτσι, καμία υποδομή δεν επιτυγχάνει πλήρη απόσβεση, ενώ τα μοντέλα της ΕΕΤΤ υποεκτιμούν το πραγματικό επενδυτικό κόστος και τα έσοδα.</w:t>
      </w:r>
    </w:p>
    <w:p w14:paraId="37E3B0ED" w14:textId="382C276D" w:rsidR="00DE384E" w:rsidRDefault="004014AE" w:rsidP="00DE384E">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αναφέρει ότι τ</w:t>
      </w:r>
      <w:r w:rsidRPr="00603E4A">
        <w:rPr>
          <w:rFonts w:ascii="Calibri" w:hAnsi="Calibri" w:cs="Calibri"/>
          <w:sz w:val="22"/>
          <w:szCs w:val="22"/>
        </w:rPr>
        <w:t xml:space="preserve">ο μοντέλο υποεκτιμά το </w:t>
      </w:r>
      <w:proofErr w:type="spellStart"/>
      <w:r w:rsidRPr="00603E4A">
        <w:rPr>
          <w:rFonts w:ascii="Calibri" w:hAnsi="Calibri" w:cs="Calibri"/>
          <w:sz w:val="22"/>
          <w:szCs w:val="22"/>
        </w:rPr>
        <w:t>bandwidth</w:t>
      </w:r>
      <w:proofErr w:type="spellEnd"/>
      <w:r w:rsidRPr="00603E4A">
        <w:rPr>
          <w:rFonts w:ascii="Calibri" w:hAnsi="Calibri" w:cs="Calibri"/>
          <w:sz w:val="22"/>
          <w:szCs w:val="22"/>
        </w:rPr>
        <w:t xml:space="preserve"> ανά συνδρομητή και </w:t>
      </w:r>
      <w:r>
        <w:rPr>
          <w:rFonts w:ascii="Calibri" w:hAnsi="Calibri" w:cs="Calibri"/>
          <w:sz w:val="22"/>
          <w:szCs w:val="22"/>
        </w:rPr>
        <w:t xml:space="preserve">προτείνει να οριστεί </w:t>
      </w:r>
      <w:r w:rsidRPr="00603E4A">
        <w:rPr>
          <w:rFonts w:ascii="Calibri" w:hAnsi="Calibri" w:cs="Calibri"/>
          <w:sz w:val="22"/>
          <w:szCs w:val="22"/>
        </w:rPr>
        <w:t>ετήσια αύξηση κίνησης 20% ετησίως</w:t>
      </w:r>
      <w:r>
        <w:rPr>
          <w:rFonts w:ascii="Calibri" w:hAnsi="Calibri" w:cs="Calibri"/>
          <w:sz w:val="22"/>
          <w:szCs w:val="22"/>
        </w:rPr>
        <w:t xml:space="preserve">, σύμφωνα με διεθνείς μετρήσεις, ενώ αναφέρει ότι σύμφωνα με τα στοιχεία τους, καταγράφεται </w:t>
      </w:r>
      <w:r w:rsidRPr="00603E4A">
        <w:rPr>
          <w:rFonts w:ascii="Calibri" w:hAnsi="Calibri" w:cs="Calibri"/>
          <w:sz w:val="22"/>
          <w:szCs w:val="22"/>
        </w:rPr>
        <w:t xml:space="preserve">μέση κατανάλωση 3,2 Mbps ανά συνδρομητή στην ώρα αιχμής. </w:t>
      </w:r>
      <w:r w:rsidRPr="00063071">
        <w:rPr>
          <w:rFonts w:ascii="Calibri" w:hAnsi="Calibri" w:cs="Calibri"/>
          <w:sz w:val="22"/>
          <w:szCs w:val="22"/>
        </w:rPr>
        <w:t>(</w:t>
      </w:r>
      <w:proofErr w:type="spellStart"/>
      <w:r w:rsidRPr="00063071">
        <w:rPr>
          <w:rFonts w:ascii="Calibri" w:hAnsi="Calibri" w:cs="Calibri"/>
          <w:sz w:val="22"/>
          <w:szCs w:val="22"/>
        </w:rPr>
        <w:t>Data</w:t>
      </w:r>
      <w:proofErr w:type="spellEnd"/>
      <w:r w:rsidRPr="00063071">
        <w:rPr>
          <w:rFonts w:ascii="Calibri" w:hAnsi="Calibri" w:cs="Calibri"/>
          <w:sz w:val="22"/>
          <w:szCs w:val="22"/>
        </w:rPr>
        <w:t xml:space="preserve"> </w:t>
      </w:r>
      <w:proofErr w:type="spellStart"/>
      <w:r w:rsidRPr="00063071">
        <w:rPr>
          <w:rFonts w:ascii="Calibri" w:hAnsi="Calibri" w:cs="Calibri"/>
          <w:sz w:val="22"/>
          <w:szCs w:val="22"/>
        </w:rPr>
        <w:t>consumption</w:t>
      </w:r>
      <w:proofErr w:type="spellEnd"/>
      <w:r w:rsidRPr="00063071">
        <w:rPr>
          <w:rFonts w:ascii="Calibri" w:hAnsi="Calibri" w:cs="Calibri"/>
          <w:sz w:val="22"/>
          <w:szCs w:val="22"/>
        </w:rPr>
        <w:t xml:space="preserve"> in BH per </w:t>
      </w:r>
      <w:proofErr w:type="spellStart"/>
      <w:r w:rsidRPr="00063071">
        <w:rPr>
          <w:rFonts w:ascii="Calibri" w:hAnsi="Calibri" w:cs="Calibri"/>
          <w:sz w:val="22"/>
          <w:szCs w:val="22"/>
        </w:rPr>
        <w:t>sub</w:t>
      </w:r>
      <w:proofErr w:type="spellEnd"/>
      <w:r w:rsidRPr="00063071">
        <w:rPr>
          <w:rFonts w:ascii="Calibri" w:hAnsi="Calibri" w:cs="Calibri"/>
          <w:sz w:val="22"/>
          <w:szCs w:val="22"/>
        </w:rPr>
        <w:t xml:space="preserve">) που χρησιμοποιείται στο μοντέλο (γραμμές Μ77:Μ85 – φύλλο Market </w:t>
      </w:r>
      <w:proofErr w:type="spellStart"/>
      <w:r w:rsidRPr="00063071">
        <w:rPr>
          <w:rFonts w:ascii="Calibri" w:hAnsi="Calibri" w:cs="Calibri"/>
          <w:sz w:val="22"/>
          <w:szCs w:val="22"/>
        </w:rPr>
        <w:t>Demand</w:t>
      </w:r>
      <w:proofErr w:type="spellEnd"/>
      <w:r w:rsidRPr="00063071">
        <w:rPr>
          <w:rFonts w:ascii="Calibri" w:hAnsi="Calibri" w:cs="Calibri"/>
          <w:sz w:val="22"/>
          <w:szCs w:val="22"/>
        </w:rPr>
        <w:t>)</w:t>
      </w:r>
      <w:r>
        <w:rPr>
          <w:rFonts w:ascii="Calibri" w:hAnsi="Calibri" w:cs="Calibri"/>
          <w:sz w:val="22"/>
          <w:szCs w:val="22"/>
        </w:rPr>
        <w:t>, με αυξητική τάση, καθ</w:t>
      </w:r>
      <w:r w:rsidRPr="00063071">
        <w:rPr>
          <w:rFonts w:ascii="Calibri" w:hAnsi="Calibri" w:cs="Calibri"/>
          <w:sz w:val="22"/>
          <w:szCs w:val="22"/>
        </w:rPr>
        <w:t xml:space="preserve">ώς μετατοπίζονται οι πελάτες σε μεγαλύτερες ταχύτητες και καθώς ο λόγος </w:t>
      </w:r>
      <w:proofErr w:type="spellStart"/>
      <w:r w:rsidRPr="00063071">
        <w:rPr>
          <w:rFonts w:ascii="Calibri" w:hAnsi="Calibri" w:cs="Calibri"/>
          <w:sz w:val="22"/>
          <w:szCs w:val="22"/>
        </w:rPr>
        <w:t>uplink</w:t>
      </w:r>
      <w:proofErr w:type="spellEnd"/>
      <w:r w:rsidRPr="00063071">
        <w:rPr>
          <w:rFonts w:ascii="Calibri" w:hAnsi="Calibri" w:cs="Calibri"/>
          <w:sz w:val="22"/>
          <w:szCs w:val="22"/>
        </w:rPr>
        <w:t>/</w:t>
      </w:r>
      <w:proofErr w:type="spellStart"/>
      <w:r w:rsidRPr="00063071">
        <w:rPr>
          <w:rFonts w:ascii="Calibri" w:hAnsi="Calibri" w:cs="Calibri"/>
          <w:sz w:val="22"/>
          <w:szCs w:val="22"/>
        </w:rPr>
        <w:t>downlink</w:t>
      </w:r>
      <w:proofErr w:type="spellEnd"/>
      <w:r w:rsidRPr="00063071">
        <w:rPr>
          <w:rFonts w:ascii="Calibri" w:hAnsi="Calibri" w:cs="Calibri"/>
          <w:sz w:val="22"/>
          <w:szCs w:val="22"/>
        </w:rPr>
        <w:t xml:space="preserve"> των εμπορικά διαθέσιμων υπηρεσιών είναι πλέον 1:2 αντί για 1:10 το 2019</w:t>
      </w:r>
      <w:r>
        <w:rPr>
          <w:rFonts w:ascii="Calibri" w:hAnsi="Calibri" w:cs="Calibri"/>
          <w:sz w:val="22"/>
          <w:szCs w:val="22"/>
        </w:rPr>
        <w:t>.</w:t>
      </w:r>
      <w:r w:rsidR="00DE384E" w:rsidRPr="00DE384E">
        <w:rPr>
          <w:rFonts w:ascii="Calibri" w:hAnsi="Calibri" w:cs="Calibri"/>
          <w:sz w:val="22"/>
          <w:szCs w:val="22"/>
        </w:rPr>
        <w:t xml:space="preserve"> </w:t>
      </w:r>
      <w:r w:rsidR="00DE384E">
        <w:rPr>
          <w:rFonts w:ascii="Calibri" w:hAnsi="Calibri" w:cs="Calibri"/>
          <w:sz w:val="22"/>
          <w:szCs w:val="22"/>
        </w:rPr>
        <w:t>Τέλος,</w:t>
      </w:r>
      <w:r w:rsidR="00DE384E" w:rsidRPr="00DE384E">
        <w:rPr>
          <w:rFonts w:ascii="Calibri" w:hAnsi="Calibri" w:cs="Calibri"/>
          <w:sz w:val="22"/>
          <w:szCs w:val="22"/>
        </w:rPr>
        <w:t xml:space="preserve"> </w:t>
      </w:r>
      <w:r w:rsidR="00DE384E">
        <w:rPr>
          <w:rFonts w:ascii="Calibri" w:hAnsi="Calibri" w:cs="Calibri"/>
          <w:sz w:val="22"/>
          <w:szCs w:val="22"/>
        </w:rPr>
        <w:t>αναφέρει ότι η</w:t>
      </w:r>
      <w:r w:rsidR="00DE384E" w:rsidRPr="00063071">
        <w:rPr>
          <w:rFonts w:ascii="Calibri" w:hAnsi="Calibri" w:cs="Calibri"/>
          <w:sz w:val="22"/>
          <w:szCs w:val="22"/>
        </w:rPr>
        <w:t xml:space="preserve"> διείσδυση των υπό μοντελοποίηση υπηρεσιών θα πρέπει να ακολουθεί τα ιστορικά στοιχεία που υπάρχουν διαθέσιμα.</w:t>
      </w:r>
      <w:r w:rsidR="00DE384E">
        <w:rPr>
          <w:rFonts w:ascii="Calibri" w:hAnsi="Calibri" w:cs="Calibri"/>
          <w:sz w:val="22"/>
          <w:szCs w:val="22"/>
        </w:rPr>
        <w:t xml:space="preserve"> </w:t>
      </w:r>
      <w:r w:rsidR="00DE384E" w:rsidRPr="00D27F23">
        <w:rPr>
          <w:rFonts w:ascii="Calibri" w:hAnsi="Calibri" w:cs="Calibri"/>
          <w:sz w:val="22"/>
          <w:szCs w:val="22"/>
        </w:rPr>
        <w:t>Συγκ</w:t>
      </w:r>
      <w:r w:rsidR="00DE384E">
        <w:rPr>
          <w:rFonts w:ascii="Calibri" w:hAnsi="Calibri" w:cs="Calibri"/>
          <w:sz w:val="22"/>
          <w:szCs w:val="22"/>
        </w:rPr>
        <w:t>εκριμένα, ζ</w:t>
      </w:r>
      <w:r w:rsidR="00DE384E" w:rsidRPr="00D27F23">
        <w:rPr>
          <w:rFonts w:ascii="Calibri" w:hAnsi="Calibri" w:cs="Calibri"/>
          <w:sz w:val="22"/>
          <w:szCs w:val="22"/>
        </w:rPr>
        <w:t>ητά αναθεώρηση της κατανομής ταχυτήτων</w:t>
      </w:r>
      <w:r w:rsidR="00DE384E">
        <w:rPr>
          <w:rFonts w:ascii="Calibri" w:hAnsi="Calibri" w:cs="Calibri"/>
          <w:sz w:val="22"/>
          <w:szCs w:val="22"/>
        </w:rPr>
        <w:t xml:space="preserve">, καθώς υποστηρίζει ότι </w:t>
      </w:r>
      <w:r w:rsidR="00DE384E" w:rsidRPr="00D27F23">
        <w:rPr>
          <w:rFonts w:ascii="Calibri" w:hAnsi="Calibri" w:cs="Calibri"/>
          <w:sz w:val="22"/>
          <w:szCs w:val="22"/>
        </w:rPr>
        <w:t xml:space="preserve">το μοντέλο υπερεκτιμά τη 50 Mbps και υποεκτιμά τις </w:t>
      </w:r>
      <w:r w:rsidR="00DE384E">
        <w:rPr>
          <w:rFonts w:ascii="Calibri" w:hAnsi="Calibri" w:cs="Calibri"/>
          <w:sz w:val="22"/>
          <w:szCs w:val="22"/>
        </w:rPr>
        <w:t xml:space="preserve">ταχύτητες </w:t>
      </w:r>
      <w:r w:rsidR="00DE384E" w:rsidRPr="00D27F23">
        <w:rPr>
          <w:rFonts w:ascii="Calibri" w:hAnsi="Calibri" w:cs="Calibri"/>
          <w:sz w:val="22"/>
          <w:szCs w:val="22"/>
        </w:rPr>
        <w:t>100-400 Mbps</w:t>
      </w:r>
      <w:r w:rsidR="00DE384E">
        <w:rPr>
          <w:rFonts w:ascii="Calibri" w:hAnsi="Calibri" w:cs="Calibri"/>
          <w:sz w:val="22"/>
          <w:szCs w:val="22"/>
        </w:rPr>
        <w:t xml:space="preserve">, σύμφωνα με τα </w:t>
      </w:r>
      <w:r w:rsidR="00DE384E" w:rsidRPr="006D0826">
        <w:rPr>
          <w:rFonts w:ascii="Calibri" w:hAnsi="Calibri" w:cs="Calibri"/>
          <w:sz w:val="22"/>
          <w:szCs w:val="22"/>
        </w:rPr>
        <w:t>πραγματικά στοιχεία ΕΕΤΤ έως τέλους 2024</w:t>
      </w:r>
      <w:r w:rsidR="00DE384E" w:rsidRPr="00D27F23">
        <w:rPr>
          <w:rFonts w:ascii="Calibri" w:hAnsi="Calibri" w:cs="Calibri"/>
          <w:sz w:val="22"/>
          <w:szCs w:val="22"/>
        </w:rPr>
        <w:t>.</w:t>
      </w:r>
    </w:p>
    <w:p w14:paraId="7394AD19" w14:textId="1183F5CC" w:rsidR="004014AE" w:rsidRDefault="003C397C" w:rsidP="00DE384E">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sidRPr="00DE384E">
        <w:rPr>
          <w:rFonts w:ascii="Calibri" w:hAnsi="Calibri" w:cs="Calibri"/>
          <w:sz w:val="22"/>
          <w:szCs w:val="22"/>
        </w:rPr>
        <w:t xml:space="preserve"> </w:t>
      </w:r>
      <w:r w:rsidR="00DE384E" w:rsidRPr="00DE384E">
        <w:rPr>
          <w:rFonts w:ascii="Calibri" w:hAnsi="Calibri" w:cs="Calibri"/>
          <w:sz w:val="22"/>
          <w:szCs w:val="22"/>
        </w:rPr>
        <w:t xml:space="preserve">επισημαίνει </w:t>
      </w:r>
      <w:r w:rsidR="00DE384E">
        <w:rPr>
          <w:rFonts w:ascii="Calibri" w:hAnsi="Calibri" w:cs="Calibri"/>
          <w:sz w:val="22"/>
          <w:szCs w:val="22"/>
        </w:rPr>
        <w:t xml:space="preserve">ότι η </w:t>
      </w:r>
      <w:r w:rsidR="00DE384E" w:rsidRPr="00DE384E">
        <w:rPr>
          <w:rFonts w:ascii="Calibri" w:hAnsi="Calibri" w:cs="Calibri"/>
          <w:sz w:val="22"/>
          <w:szCs w:val="22"/>
        </w:rPr>
        <w:t>υπόθεση της ΕΕΤΤ ότι όλη η κίνηση λαμβάνει χώρα κατά τις ώρες αιχμής και καθόλου σε ώρες μη αιχμής, οδηγεί σε υπερεκτίμηση της χωρητικότητας που πρέπει να εξυπηρετηθεί και κατ’ επέκταση του δικτυακού εξοπλισμού που θα πρέπει να προμηθευτεί ο πάροχος δικτύου για να καλύψει αυτή την ανάγκη, οδηγώντας στον υπολογισμό μη αποδοτικού κόστους κατασκευής του δικτύου</w:t>
      </w:r>
      <w:r w:rsidR="00DE384E">
        <w:rPr>
          <w:rFonts w:ascii="Calibri" w:hAnsi="Calibri" w:cs="Calibri"/>
          <w:sz w:val="22"/>
          <w:szCs w:val="22"/>
        </w:rPr>
        <w:t xml:space="preserve">. </w:t>
      </w:r>
      <w:r w:rsidR="00DE384E" w:rsidRPr="00DE384E">
        <w:rPr>
          <w:rFonts w:ascii="Calibri" w:hAnsi="Calibri" w:cs="Calibri"/>
          <w:sz w:val="22"/>
          <w:szCs w:val="22"/>
        </w:rPr>
        <w:t>Η παραδοχή ότι η κίνηση των υπηρεσιών 3Gbps είναι 65% υψηλότερη από αυτή των υπηρεσιών 1Gbps δεν βασίζεται σε ιστορικά στοιχεία καθώς είναι μια υπηρεσία που διατέθηκε εμπορικά μόλις το 2024 και η ζήτηση αυτής παραμένει χαμηλή. Το ποσοστό που προτείνει η ΕΕΤΤ δεν αιτιολογείται, ιδιαίτερα λαμβάνοντας υπόψη την αντίστοιχη αύξηση στην κίνηση μεταξύ υπηρεσιών χαμηλότερων ταχυτήτων</w:t>
      </w:r>
      <w:r w:rsidR="00DE384E">
        <w:rPr>
          <w:rFonts w:ascii="Calibri" w:hAnsi="Calibri" w:cs="Calibri"/>
          <w:sz w:val="22"/>
          <w:szCs w:val="22"/>
        </w:rPr>
        <w:t>. Τέλος, προτείνει η</w:t>
      </w:r>
      <w:r w:rsidR="00DE384E" w:rsidRPr="00DE384E">
        <w:rPr>
          <w:rFonts w:ascii="Calibri" w:hAnsi="Calibri" w:cs="Calibri"/>
          <w:sz w:val="22"/>
          <w:szCs w:val="22"/>
        </w:rPr>
        <w:t xml:space="preserve"> ζήτηση των υπηρεσιών υψηλότερης ταχύτητας θα πρέπει να αυξηθεί σημαντικά</w:t>
      </w:r>
      <w:r w:rsidR="00DE384E">
        <w:rPr>
          <w:rFonts w:ascii="Calibri" w:hAnsi="Calibri" w:cs="Calibri"/>
          <w:sz w:val="22"/>
          <w:szCs w:val="22"/>
        </w:rPr>
        <w:t xml:space="preserve">, και να αναθεωρήσει τα ποσοστά βάσει των </w:t>
      </w:r>
      <w:r w:rsidR="00DE384E" w:rsidRPr="00DE384E">
        <w:rPr>
          <w:rFonts w:ascii="Calibri" w:hAnsi="Calibri" w:cs="Calibri"/>
          <w:sz w:val="22"/>
          <w:szCs w:val="22"/>
        </w:rPr>
        <w:t>προβλέψ</w:t>
      </w:r>
      <w:r w:rsidR="00DE384E">
        <w:rPr>
          <w:rFonts w:ascii="Calibri" w:hAnsi="Calibri" w:cs="Calibri"/>
          <w:sz w:val="22"/>
          <w:szCs w:val="22"/>
        </w:rPr>
        <w:t>εων</w:t>
      </w:r>
      <w:r w:rsidR="00DE384E" w:rsidRPr="00DE384E">
        <w:rPr>
          <w:rFonts w:ascii="Calibri" w:hAnsi="Calibri" w:cs="Calibri"/>
          <w:sz w:val="22"/>
          <w:szCs w:val="22"/>
        </w:rPr>
        <w:t xml:space="preserve"> του συνόλου των παρόχων για τα επόμενα έτη, έως το 2028, τόσο </w:t>
      </w:r>
      <w:r w:rsidR="00DE384E" w:rsidRPr="00DE384E">
        <w:rPr>
          <w:rFonts w:ascii="Calibri" w:hAnsi="Calibri" w:cs="Calibri"/>
          <w:sz w:val="22"/>
          <w:szCs w:val="22"/>
        </w:rPr>
        <w:lastRenderedPageBreak/>
        <w:t xml:space="preserve">για το σύνολο της ζήτησης όσο και ανά ταχύτητα, εξασφαλίζοντας έτσι την </w:t>
      </w:r>
      <w:proofErr w:type="spellStart"/>
      <w:r w:rsidR="00DE384E" w:rsidRPr="00DE384E">
        <w:rPr>
          <w:rFonts w:ascii="Calibri" w:hAnsi="Calibri" w:cs="Calibri"/>
          <w:sz w:val="22"/>
          <w:szCs w:val="22"/>
        </w:rPr>
        <w:t>ρεαλιστικότητα</w:t>
      </w:r>
      <w:proofErr w:type="spellEnd"/>
      <w:r w:rsidR="00DE384E" w:rsidRPr="00DE384E">
        <w:rPr>
          <w:rFonts w:ascii="Calibri" w:hAnsi="Calibri" w:cs="Calibri"/>
          <w:sz w:val="22"/>
          <w:szCs w:val="22"/>
        </w:rPr>
        <w:t xml:space="preserve"> των αποτελεσμάτων των μοντέλων πρόβλεψης, αλλά και την προβλεψιμότητα στη ρύθμιση της αγοράς</w:t>
      </w:r>
    </w:p>
    <w:p w14:paraId="74A431E2"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5A1AA635" w14:textId="627D1CAB"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CC71F5">
        <w:rPr>
          <w:rFonts w:ascii="Calibri" w:hAnsi="Calibri" w:cs="Calibri"/>
          <w:b/>
          <w:color w:val="1F4E79" w:themeColor="accent1" w:themeShade="80"/>
          <w:sz w:val="22"/>
          <w:szCs w:val="22"/>
          <w:u w:val="single"/>
        </w:rPr>
        <w:t>5</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0FE52399" w14:textId="54E4C67E" w:rsidR="004014AE" w:rsidRDefault="00CC71F5" w:rsidP="004014AE">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Η ΕΕΤΤ επισημαίνει ότι για την εκτίμηση της ζήτησης και της αντίστοιχης αύξησης κίνησης δεδομένων έχουν χρησιμοποιηθεί τα διαθέσιμα ιστορικά και πρόσφατα στοιχεία που επιβεβαιώνουν την τάση αύξηση</w:t>
      </w:r>
      <w:r w:rsidR="00D321C6">
        <w:rPr>
          <w:rFonts w:ascii="Calibri" w:hAnsi="Calibri" w:cs="Calibri"/>
          <w:color w:val="1F4E79" w:themeColor="accent1" w:themeShade="80"/>
          <w:sz w:val="22"/>
          <w:szCs w:val="22"/>
        </w:rPr>
        <w:t>ς</w:t>
      </w:r>
      <w:r>
        <w:rPr>
          <w:rFonts w:ascii="Calibri" w:hAnsi="Calibri" w:cs="Calibri"/>
          <w:color w:val="1F4E79" w:themeColor="accent1" w:themeShade="80"/>
          <w:sz w:val="22"/>
          <w:szCs w:val="22"/>
        </w:rPr>
        <w:t xml:space="preserve"> της συνολικής κίνησης </w:t>
      </w:r>
      <w:r w:rsidR="00A90EFD">
        <w:rPr>
          <w:rFonts w:ascii="Calibri" w:hAnsi="Calibri" w:cs="Calibri"/>
          <w:color w:val="1F4E79" w:themeColor="accent1" w:themeShade="80"/>
          <w:sz w:val="22"/>
          <w:szCs w:val="22"/>
        </w:rPr>
        <w:t xml:space="preserve">της Ελλάδας, </w:t>
      </w:r>
      <w:r>
        <w:rPr>
          <w:rFonts w:ascii="Calibri" w:hAnsi="Calibri" w:cs="Calibri"/>
          <w:color w:val="1F4E79" w:themeColor="accent1" w:themeShade="80"/>
          <w:sz w:val="22"/>
          <w:szCs w:val="22"/>
        </w:rPr>
        <w:t xml:space="preserve">που αποτυπώνεται στο μοντέλο στο σενάριο του </w:t>
      </w:r>
      <w:r>
        <w:rPr>
          <w:rFonts w:ascii="Calibri" w:hAnsi="Calibri" w:cs="Calibri"/>
          <w:color w:val="1F4E79" w:themeColor="accent1" w:themeShade="80"/>
          <w:sz w:val="22"/>
          <w:szCs w:val="22"/>
          <w:lang w:val="en-US"/>
        </w:rPr>
        <w:t>FTTH</w:t>
      </w:r>
      <w:r w:rsidRPr="00CC71F5">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δικτύου. </w:t>
      </w:r>
      <w:r w:rsidR="00713ED2">
        <w:rPr>
          <w:rFonts w:ascii="Calibri" w:hAnsi="Calibri" w:cs="Calibri"/>
          <w:color w:val="1F4E79" w:themeColor="accent1" w:themeShade="80"/>
          <w:sz w:val="22"/>
          <w:szCs w:val="22"/>
        </w:rPr>
        <w:t xml:space="preserve">Λαμβάνοντας επίσης </w:t>
      </w:r>
      <w:r w:rsidR="00A90EFD">
        <w:rPr>
          <w:rFonts w:ascii="Calibri" w:hAnsi="Calibri" w:cs="Calibri"/>
          <w:color w:val="1F4E79" w:themeColor="accent1" w:themeShade="80"/>
          <w:sz w:val="22"/>
          <w:szCs w:val="22"/>
        </w:rPr>
        <w:t>υπόψη</w:t>
      </w:r>
      <w:r w:rsidR="00713ED2">
        <w:rPr>
          <w:rFonts w:ascii="Calibri" w:hAnsi="Calibri" w:cs="Calibri"/>
          <w:color w:val="1F4E79" w:themeColor="accent1" w:themeShade="80"/>
          <w:sz w:val="22"/>
          <w:szCs w:val="22"/>
        </w:rPr>
        <w:t xml:space="preserve"> την πρόταση ενός συμμετέχοντα, η ΕΕΤΤ θα προχωρήσει σε</w:t>
      </w:r>
      <w:r>
        <w:rPr>
          <w:rFonts w:ascii="Calibri" w:hAnsi="Calibri" w:cs="Calibri"/>
          <w:color w:val="1F4E79" w:themeColor="accent1" w:themeShade="80"/>
          <w:sz w:val="22"/>
          <w:szCs w:val="22"/>
        </w:rPr>
        <w:t xml:space="preserve"> α</w:t>
      </w:r>
      <w:r w:rsidR="00713ED2">
        <w:rPr>
          <w:rFonts w:ascii="Calibri" w:hAnsi="Calibri" w:cs="Calibri"/>
          <w:color w:val="1F4E79" w:themeColor="accent1" w:themeShade="80"/>
          <w:sz w:val="22"/>
          <w:szCs w:val="22"/>
        </w:rPr>
        <w:t>ύξηση της</w:t>
      </w:r>
      <w:r>
        <w:rPr>
          <w:rFonts w:ascii="Calibri" w:hAnsi="Calibri" w:cs="Calibri"/>
          <w:color w:val="1F4E79" w:themeColor="accent1" w:themeShade="80"/>
          <w:sz w:val="22"/>
          <w:szCs w:val="22"/>
        </w:rPr>
        <w:t xml:space="preserve"> ζήτηση</w:t>
      </w:r>
      <w:r w:rsidR="00713ED2">
        <w:rPr>
          <w:rFonts w:ascii="Calibri" w:hAnsi="Calibri" w:cs="Calibri"/>
          <w:color w:val="1F4E79" w:themeColor="accent1" w:themeShade="80"/>
          <w:sz w:val="22"/>
          <w:szCs w:val="22"/>
        </w:rPr>
        <w:t>ς</w:t>
      </w:r>
      <w:r>
        <w:rPr>
          <w:rFonts w:ascii="Calibri" w:hAnsi="Calibri" w:cs="Calibri"/>
          <w:color w:val="1F4E79" w:themeColor="accent1" w:themeShade="80"/>
          <w:sz w:val="22"/>
          <w:szCs w:val="22"/>
        </w:rPr>
        <w:t xml:space="preserve"> στις μεγαλύτερες ταχύτητες </w:t>
      </w:r>
      <w:r>
        <w:rPr>
          <w:rFonts w:ascii="Calibri" w:hAnsi="Calibri" w:cs="Calibri"/>
          <w:color w:val="1F4E79" w:themeColor="accent1" w:themeShade="80"/>
          <w:sz w:val="22"/>
          <w:szCs w:val="22"/>
          <w:lang w:val="en-US"/>
        </w:rPr>
        <w:t>FTTH</w:t>
      </w:r>
      <w:r w:rsidR="002150FB">
        <w:rPr>
          <w:rFonts w:ascii="Calibri" w:hAnsi="Calibri" w:cs="Calibri"/>
          <w:color w:val="1F4E79" w:themeColor="accent1" w:themeShade="80"/>
          <w:sz w:val="22"/>
          <w:szCs w:val="22"/>
        </w:rPr>
        <w:t>,</w:t>
      </w:r>
      <w:r w:rsidRPr="00CC71F5">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βασ</w:t>
      </w:r>
      <w:r w:rsidR="00713ED2">
        <w:rPr>
          <w:rFonts w:ascii="Calibri" w:hAnsi="Calibri" w:cs="Calibri"/>
          <w:color w:val="1F4E79" w:themeColor="accent1" w:themeShade="80"/>
          <w:sz w:val="22"/>
          <w:szCs w:val="22"/>
        </w:rPr>
        <w:t>ιζόμενη</w:t>
      </w:r>
      <w:r>
        <w:rPr>
          <w:rFonts w:ascii="Calibri" w:hAnsi="Calibri" w:cs="Calibri"/>
          <w:color w:val="1F4E79" w:themeColor="accent1" w:themeShade="80"/>
          <w:sz w:val="22"/>
          <w:szCs w:val="22"/>
        </w:rPr>
        <w:t xml:space="preserve"> </w:t>
      </w:r>
      <w:r w:rsidR="00713ED2">
        <w:rPr>
          <w:rFonts w:ascii="Calibri" w:hAnsi="Calibri" w:cs="Calibri"/>
          <w:color w:val="1F4E79" w:themeColor="accent1" w:themeShade="80"/>
          <w:sz w:val="22"/>
          <w:szCs w:val="22"/>
        </w:rPr>
        <w:t>στα ιστορικά στοιχεία</w:t>
      </w:r>
      <w:r>
        <w:rPr>
          <w:rFonts w:ascii="Calibri" w:hAnsi="Calibri" w:cs="Calibri"/>
          <w:color w:val="1F4E79" w:themeColor="accent1" w:themeShade="80"/>
          <w:sz w:val="22"/>
          <w:szCs w:val="22"/>
        </w:rPr>
        <w:t xml:space="preserve"> για την πορεία της </w:t>
      </w:r>
      <w:r w:rsidR="00516568">
        <w:rPr>
          <w:rFonts w:ascii="Calibri" w:hAnsi="Calibri" w:cs="Calibri"/>
          <w:color w:val="1F4E79" w:themeColor="accent1" w:themeShade="80"/>
          <w:sz w:val="22"/>
          <w:szCs w:val="22"/>
        </w:rPr>
        <w:t xml:space="preserve">ζήτησης </w:t>
      </w:r>
      <w:r w:rsidR="00516568">
        <w:rPr>
          <w:rFonts w:ascii="Calibri" w:hAnsi="Calibri" w:cs="Calibri"/>
          <w:color w:val="1F4E79" w:themeColor="accent1" w:themeShade="80"/>
          <w:sz w:val="22"/>
          <w:szCs w:val="22"/>
          <w:lang w:val="en-US"/>
        </w:rPr>
        <w:t>FTTH</w:t>
      </w:r>
      <w:r w:rsidR="00516568">
        <w:rPr>
          <w:rFonts w:ascii="Calibri" w:hAnsi="Calibri" w:cs="Calibri"/>
          <w:color w:val="1F4E79" w:themeColor="accent1" w:themeShade="80"/>
          <w:sz w:val="22"/>
          <w:szCs w:val="22"/>
        </w:rPr>
        <w:t xml:space="preserve"> σε άλλες Ευρωπαϊκές χώρες (σε αντίστοιχο στάδιο </w:t>
      </w:r>
      <w:r w:rsidR="00713ED2">
        <w:rPr>
          <w:rFonts w:ascii="Calibri" w:hAnsi="Calibri" w:cs="Calibri"/>
          <w:color w:val="1F4E79" w:themeColor="accent1" w:themeShade="80"/>
          <w:sz w:val="22"/>
          <w:szCs w:val="22"/>
        </w:rPr>
        <w:t>διείσδυσης)</w:t>
      </w:r>
      <w:r w:rsidR="00A90EFD">
        <w:rPr>
          <w:rFonts w:ascii="Calibri" w:hAnsi="Calibri" w:cs="Calibri"/>
          <w:color w:val="1F4E79" w:themeColor="accent1" w:themeShade="80"/>
          <w:sz w:val="22"/>
          <w:szCs w:val="22"/>
        </w:rPr>
        <w:t>,</w:t>
      </w:r>
      <w:r w:rsidR="00516568">
        <w:rPr>
          <w:rFonts w:ascii="Calibri" w:hAnsi="Calibri" w:cs="Calibri"/>
          <w:color w:val="1F4E79" w:themeColor="accent1" w:themeShade="80"/>
          <w:sz w:val="22"/>
          <w:szCs w:val="22"/>
        </w:rPr>
        <w:t xml:space="preserve"> καθώς και σε εκτιμήσεις για την απόδοση δράσεων όπως το </w:t>
      </w:r>
      <w:r w:rsidR="00516568">
        <w:rPr>
          <w:rFonts w:ascii="Calibri" w:hAnsi="Calibri" w:cs="Calibri"/>
          <w:color w:val="1F4E79" w:themeColor="accent1" w:themeShade="80"/>
          <w:sz w:val="22"/>
          <w:szCs w:val="22"/>
          <w:lang w:val="en-US"/>
        </w:rPr>
        <w:t>Gigabit</w:t>
      </w:r>
      <w:r w:rsidR="00516568" w:rsidRPr="00516568">
        <w:rPr>
          <w:rFonts w:ascii="Calibri" w:hAnsi="Calibri" w:cs="Calibri"/>
          <w:color w:val="1F4E79" w:themeColor="accent1" w:themeShade="80"/>
          <w:sz w:val="22"/>
          <w:szCs w:val="22"/>
        </w:rPr>
        <w:t xml:space="preserve"> </w:t>
      </w:r>
      <w:r w:rsidR="00516568">
        <w:rPr>
          <w:rFonts w:ascii="Calibri" w:hAnsi="Calibri" w:cs="Calibri"/>
          <w:color w:val="1F4E79" w:themeColor="accent1" w:themeShade="80"/>
          <w:sz w:val="22"/>
          <w:szCs w:val="22"/>
          <w:lang w:val="en-US"/>
        </w:rPr>
        <w:t>Voucher</w:t>
      </w:r>
      <w:r w:rsidR="00516568">
        <w:rPr>
          <w:rFonts w:ascii="Calibri" w:hAnsi="Calibri" w:cs="Calibri"/>
          <w:color w:val="1F4E79" w:themeColor="accent1" w:themeShade="80"/>
          <w:sz w:val="22"/>
          <w:szCs w:val="22"/>
        </w:rPr>
        <w:t>.</w:t>
      </w:r>
    </w:p>
    <w:p w14:paraId="0B2F0ADC" w14:textId="679FA497" w:rsidR="00CC71F5" w:rsidRPr="0066490C" w:rsidRDefault="00516568" w:rsidP="004014AE">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Επιπλέον, η πρόταση ενός συμμετέχοντα για οριζόντια αύξηση της κίνησης δεδομένων 20% ετησίως στη σταθερή ευρυζωνικότητα κρίνεται ως μη εύλογη, διότι αντίστοιχα ποσοστά και εκτιμήσεις εδράζονται κυρίως στην εξέλιξη της κινητής ευρυζωνικότητας, η οποία έχει μεγαλύτερα ποσοστά αύξησης κίνησης</w:t>
      </w:r>
      <w:r w:rsidR="00A90EFD">
        <w:rPr>
          <w:rFonts w:ascii="Calibri" w:hAnsi="Calibri" w:cs="Calibri"/>
          <w:color w:val="1F4E79" w:themeColor="accent1" w:themeShade="80"/>
          <w:sz w:val="22"/>
          <w:szCs w:val="22"/>
        </w:rPr>
        <w:t xml:space="preserve"> δεδομένων</w:t>
      </w:r>
      <w:r>
        <w:rPr>
          <w:rFonts w:ascii="Calibri" w:hAnsi="Calibri" w:cs="Calibri"/>
          <w:color w:val="1F4E79" w:themeColor="accent1" w:themeShade="80"/>
          <w:sz w:val="22"/>
          <w:szCs w:val="22"/>
        </w:rPr>
        <w:t xml:space="preserve">. Επίσης, η αύξηση του </w:t>
      </w:r>
      <w:r>
        <w:rPr>
          <w:rFonts w:ascii="Calibri" w:hAnsi="Calibri" w:cs="Calibri"/>
          <w:color w:val="1F4E79" w:themeColor="accent1" w:themeShade="80"/>
          <w:sz w:val="22"/>
          <w:szCs w:val="22"/>
          <w:lang w:val="en-US"/>
        </w:rPr>
        <w:t>upload</w:t>
      </w:r>
      <w:r w:rsidRPr="00516568">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στις ονομαστικές χωρητικότητες των υπηρεσιών δεν αναμένεται να αυξήσει σημαντικά την κίνηση δεδομένων και το </w:t>
      </w:r>
      <w:r w:rsidR="00713ED2">
        <w:rPr>
          <w:rFonts w:ascii="Calibri" w:hAnsi="Calibri" w:cs="Calibri"/>
          <w:color w:val="1F4E79" w:themeColor="accent1" w:themeShade="80"/>
          <w:sz w:val="22"/>
          <w:szCs w:val="22"/>
        </w:rPr>
        <w:t>προφίλ</w:t>
      </w:r>
      <w:r>
        <w:rPr>
          <w:rFonts w:ascii="Calibri" w:hAnsi="Calibri" w:cs="Calibri"/>
          <w:color w:val="1F4E79" w:themeColor="accent1" w:themeShade="80"/>
          <w:sz w:val="22"/>
          <w:szCs w:val="22"/>
        </w:rPr>
        <w:t xml:space="preserve"> κίνησης των συνδρομητών μεσοπρόθεσμα. </w:t>
      </w:r>
    </w:p>
    <w:p w14:paraId="6943134B" w14:textId="727A265E" w:rsidR="00713ED2" w:rsidRPr="00713ED2" w:rsidRDefault="00713ED2" w:rsidP="004014AE">
      <w:pPr>
        <w:pStyle w:val="ab"/>
        <w:spacing w:before="143" w:line="259" w:lineRule="auto"/>
        <w:ind w:right="135"/>
        <w:rPr>
          <w:rFonts w:ascii="Calibri" w:hAnsi="Calibri" w:cs="Calibri"/>
          <w:b/>
          <w:sz w:val="22"/>
          <w:szCs w:val="22"/>
        </w:rPr>
      </w:pPr>
      <w:r>
        <w:rPr>
          <w:rFonts w:ascii="Calibri" w:hAnsi="Calibri" w:cs="Calibri"/>
          <w:color w:val="1F4E79" w:themeColor="accent1" w:themeShade="80"/>
          <w:sz w:val="22"/>
          <w:szCs w:val="22"/>
        </w:rPr>
        <w:t>Αναφορικά με το ποσοστό για την κίνηση των υπηρεσιών 3</w:t>
      </w:r>
      <w:r>
        <w:rPr>
          <w:rFonts w:ascii="Calibri" w:hAnsi="Calibri" w:cs="Calibri"/>
          <w:color w:val="1F4E79" w:themeColor="accent1" w:themeShade="80"/>
          <w:sz w:val="22"/>
          <w:szCs w:val="22"/>
          <w:lang w:val="en-US"/>
        </w:rPr>
        <w:t>Gbps</w:t>
      </w:r>
      <w:r>
        <w:rPr>
          <w:rFonts w:ascii="Calibri" w:hAnsi="Calibri" w:cs="Calibri"/>
          <w:color w:val="1F4E79" w:themeColor="accent1" w:themeShade="80"/>
          <w:sz w:val="22"/>
          <w:szCs w:val="22"/>
        </w:rPr>
        <w:t>,</w:t>
      </w:r>
      <w:r w:rsidRPr="00713ED2">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η ΕΕΤΤ δεδομένης της απουσίας στοιχείων βασίστηκε κυρίως σε εκτιμήσεις παρόχων και την εκτίμηση ότι η εν λόγω υπηρεσίες θα απευθύνονται σε σημαντικά πιο απαιτητικούς χρήστες ως προς την κίνηση δεδομένων. Η ΕΕΤΤ θα προχωρήσει σε </w:t>
      </w:r>
      <w:r w:rsidR="00A90EFD">
        <w:rPr>
          <w:rFonts w:ascii="Calibri" w:hAnsi="Calibri" w:cs="Calibri"/>
          <w:color w:val="1F4E79" w:themeColor="accent1" w:themeShade="80"/>
          <w:sz w:val="22"/>
          <w:szCs w:val="22"/>
        </w:rPr>
        <w:t xml:space="preserve">ενημέρωση </w:t>
      </w:r>
      <w:r>
        <w:rPr>
          <w:rFonts w:ascii="Calibri" w:hAnsi="Calibri" w:cs="Calibri"/>
          <w:color w:val="1F4E79" w:themeColor="accent1" w:themeShade="80"/>
          <w:sz w:val="22"/>
          <w:szCs w:val="22"/>
        </w:rPr>
        <w:t>του εν λόγω ποσοστού στην επόμενη επικαιροποίηση του μοντέλου, οπότε και αναμένεται να είναι διαθέσιμα σχετικά στοιχεία.</w:t>
      </w:r>
    </w:p>
    <w:p w14:paraId="3A6333DB" w14:textId="77777777" w:rsidR="00CC71F5" w:rsidRDefault="00CC71F5" w:rsidP="004014AE">
      <w:pPr>
        <w:pStyle w:val="ab"/>
        <w:spacing w:before="143" w:line="259" w:lineRule="auto"/>
        <w:ind w:right="135"/>
        <w:rPr>
          <w:rFonts w:ascii="Calibri" w:hAnsi="Calibri" w:cs="Calibri"/>
          <w:b/>
          <w:sz w:val="22"/>
          <w:szCs w:val="22"/>
        </w:rPr>
      </w:pPr>
    </w:p>
    <w:p w14:paraId="520BFD2D" w14:textId="302856A6" w:rsidR="004014AE" w:rsidRDefault="004014AE" w:rsidP="00392B3A">
      <w:pPr>
        <w:pStyle w:val="2"/>
        <w:keepNext w:val="0"/>
        <w:widowControl w:val="0"/>
        <w:numPr>
          <w:ilvl w:val="1"/>
          <w:numId w:val="6"/>
        </w:numPr>
        <w:tabs>
          <w:tab w:val="left" w:pos="722"/>
        </w:tabs>
        <w:autoSpaceDE w:val="0"/>
        <w:autoSpaceDN w:val="0"/>
        <w:spacing w:line="240" w:lineRule="auto"/>
        <w:jc w:val="both"/>
        <w:rPr>
          <w:rFonts w:ascii="Calibri" w:hAnsi="Calibri" w:cs="Calibri"/>
          <w:b w:val="0"/>
          <w:color w:val="2E5395"/>
          <w:sz w:val="22"/>
          <w:szCs w:val="22"/>
        </w:rPr>
      </w:pPr>
      <w:r w:rsidRPr="00A63461">
        <w:rPr>
          <w:rFonts w:ascii="Calibri" w:hAnsi="Calibri" w:cs="Calibri"/>
          <w:b w:val="0"/>
          <w:color w:val="2E5395"/>
          <w:sz w:val="22"/>
          <w:szCs w:val="22"/>
        </w:rPr>
        <w:t>Πλήθος κτιρίων</w:t>
      </w:r>
    </w:p>
    <w:p w14:paraId="30FC8981" w14:textId="5F95FD8D" w:rsidR="004014AE" w:rsidRDefault="008E26D2" w:rsidP="004014AE">
      <w:pPr>
        <w:pStyle w:val="ab"/>
        <w:spacing w:before="143" w:line="259" w:lineRule="auto"/>
        <w:ind w:right="136"/>
        <w:rPr>
          <w:rFonts w:ascii="Calibri" w:hAnsi="Calibri" w:cs="Calibri"/>
          <w:sz w:val="22"/>
          <w:szCs w:val="22"/>
        </w:rPr>
      </w:pPr>
      <w:r>
        <w:rPr>
          <w:rFonts w:ascii="Calibri" w:hAnsi="Calibri" w:cs="Calibri"/>
          <w:sz w:val="22"/>
          <w:szCs w:val="22"/>
        </w:rPr>
        <w:t>Τρεις</w:t>
      </w:r>
      <w:r w:rsidR="004014AE">
        <w:rPr>
          <w:rFonts w:ascii="Calibri" w:hAnsi="Calibri" w:cs="Calibri"/>
          <w:sz w:val="22"/>
          <w:szCs w:val="22"/>
        </w:rPr>
        <w:t xml:space="preserve"> συμμετέχοντες </w:t>
      </w:r>
      <w:r w:rsidR="003C28FC" w:rsidRPr="003C28FC">
        <w:rPr>
          <w:rFonts w:ascii="Calibri" w:hAnsi="Calibri" w:cs="Calibri"/>
          <w:sz w:val="22"/>
          <w:szCs w:val="22"/>
        </w:rPr>
        <w:t>(----)</w:t>
      </w:r>
      <w:r w:rsidR="004014AE" w:rsidRPr="00161C65">
        <w:rPr>
          <w:rFonts w:ascii="Calibri" w:hAnsi="Calibri" w:cs="Calibri"/>
          <w:sz w:val="22"/>
          <w:szCs w:val="22"/>
        </w:rPr>
        <w:t xml:space="preserve"> </w:t>
      </w:r>
      <w:r w:rsidR="004014AE">
        <w:rPr>
          <w:rFonts w:ascii="Calibri" w:hAnsi="Calibri" w:cs="Calibri"/>
          <w:sz w:val="22"/>
          <w:szCs w:val="22"/>
        </w:rPr>
        <w:t xml:space="preserve">διαφωνούν με </w:t>
      </w:r>
      <w:r w:rsidR="004014AE" w:rsidRPr="00063071">
        <w:rPr>
          <w:rFonts w:ascii="Calibri" w:hAnsi="Calibri" w:cs="Calibri"/>
          <w:sz w:val="22"/>
          <w:szCs w:val="22"/>
        </w:rPr>
        <w:t>τον υπολογισμό των κτιρίων και των κατοικιών στο μοντέλο</w:t>
      </w:r>
      <w:r w:rsidR="004014AE" w:rsidRPr="0015235B">
        <w:rPr>
          <w:rFonts w:ascii="Calibri" w:hAnsi="Calibri" w:cs="Calibri"/>
          <w:sz w:val="22"/>
          <w:szCs w:val="22"/>
        </w:rPr>
        <w:t xml:space="preserve"> </w:t>
      </w:r>
      <w:r w:rsidR="004014AE">
        <w:rPr>
          <w:rFonts w:ascii="Calibri" w:hAnsi="Calibri" w:cs="Calibri"/>
          <w:sz w:val="22"/>
          <w:szCs w:val="22"/>
        </w:rPr>
        <w:t xml:space="preserve">και τη χρήση στοιχείων </w:t>
      </w:r>
      <w:r w:rsidR="004014AE" w:rsidRPr="00063071">
        <w:rPr>
          <w:rFonts w:ascii="Calibri" w:hAnsi="Calibri" w:cs="Calibri"/>
          <w:sz w:val="22"/>
          <w:szCs w:val="22"/>
        </w:rPr>
        <w:t xml:space="preserve">της απογραφής της ΕΛΣΤΑΤ του 2011 </w:t>
      </w:r>
      <w:r w:rsidR="004014AE">
        <w:rPr>
          <w:rFonts w:ascii="Calibri" w:hAnsi="Calibri" w:cs="Calibri"/>
          <w:sz w:val="22"/>
          <w:szCs w:val="22"/>
        </w:rPr>
        <w:t xml:space="preserve">και αναφέρει τη διαθεσιμότητα στοιχείων της πιο πρόσφατης απογραφής κτιρίων του 2021. Προτείνουν να </w:t>
      </w:r>
      <w:r w:rsidR="004014AE" w:rsidRPr="00063071">
        <w:rPr>
          <w:rFonts w:ascii="Calibri" w:hAnsi="Calibri" w:cs="Calibri"/>
          <w:sz w:val="22"/>
          <w:szCs w:val="22"/>
        </w:rPr>
        <w:t>συμπεριληφθούν τα κτίρια άλλης χρήσης</w:t>
      </w:r>
      <w:r w:rsidRPr="008E26D2">
        <w:rPr>
          <w:rFonts w:ascii="Calibri" w:hAnsi="Calibri" w:cs="Calibri"/>
          <w:sz w:val="22"/>
          <w:szCs w:val="22"/>
        </w:rPr>
        <w:t xml:space="preserve">, </w:t>
      </w:r>
      <w:r>
        <w:rPr>
          <w:rFonts w:ascii="Calibri" w:hAnsi="Calibri" w:cs="Calibri"/>
          <w:sz w:val="22"/>
          <w:szCs w:val="22"/>
        </w:rPr>
        <w:t>τουλάχιστον στις αστικές περιοχές ή ένα αντιπροσωπευτικό ποσοστό αυτών,</w:t>
      </w:r>
      <w:r w:rsidR="004014AE" w:rsidRPr="00063071">
        <w:rPr>
          <w:rFonts w:ascii="Calibri" w:hAnsi="Calibri" w:cs="Calibri"/>
          <w:sz w:val="22"/>
          <w:szCs w:val="22"/>
        </w:rPr>
        <w:t xml:space="preserve"> </w:t>
      </w:r>
      <w:r w:rsidR="004014AE">
        <w:rPr>
          <w:rFonts w:ascii="Calibri" w:hAnsi="Calibri" w:cs="Calibri"/>
          <w:sz w:val="22"/>
          <w:szCs w:val="22"/>
        </w:rPr>
        <w:t>τα οποία δύναται να είναι βοηθητικές εγκαταστάσεις και κοινωνικές υποδομές κοινής ωφέλειας, κέντρα κτλ. που να απαιτούν σύνδεση οπτικών ινών.</w:t>
      </w:r>
    </w:p>
    <w:p w14:paraId="24FC7A29"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04E74C9E" w14:textId="55326D53"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947F28">
        <w:rPr>
          <w:rFonts w:ascii="Calibri" w:hAnsi="Calibri" w:cs="Calibri"/>
          <w:b/>
          <w:color w:val="1F4E79" w:themeColor="accent1" w:themeShade="80"/>
          <w:sz w:val="22"/>
          <w:szCs w:val="22"/>
          <w:u w:val="single"/>
        </w:rPr>
        <w:t>6</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084CD990" w14:textId="1C933A18" w:rsidR="008B1A3E" w:rsidRDefault="00947F28" w:rsidP="004014AE">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Η ΕΕΤΤ λαμβάνοντας υπόψη τα σχόλια των συμμετεχόντων προχώρησε σε επικαιροποίηση της διαστασιοποίηση</w:t>
      </w:r>
      <w:r w:rsidR="00E37317">
        <w:rPr>
          <w:rFonts w:ascii="Calibri" w:hAnsi="Calibri" w:cs="Calibri"/>
          <w:color w:val="1F4E79" w:themeColor="accent1" w:themeShade="80"/>
          <w:sz w:val="22"/>
          <w:szCs w:val="22"/>
        </w:rPr>
        <w:t>ς</w:t>
      </w:r>
      <w:r>
        <w:rPr>
          <w:rFonts w:ascii="Calibri" w:hAnsi="Calibri" w:cs="Calibri"/>
          <w:color w:val="1F4E79" w:themeColor="accent1" w:themeShade="80"/>
          <w:sz w:val="22"/>
          <w:szCs w:val="22"/>
        </w:rPr>
        <w:t xml:space="preserve"> βάσει των στοιχείων της πρόσφατης απογραφής κτιρίων της ΕΛΣΤΑΤ του 2021.</w:t>
      </w:r>
    </w:p>
    <w:p w14:paraId="1E0888F2" w14:textId="69E8B369" w:rsidR="004014AE" w:rsidRDefault="008B1A3E" w:rsidP="004014AE">
      <w:pPr>
        <w:pStyle w:val="ab"/>
        <w:spacing w:before="143" w:line="259" w:lineRule="auto"/>
        <w:ind w:right="135"/>
        <w:rPr>
          <w:rFonts w:ascii="Calibri" w:hAnsi="Calibri" w:cs="Calibri"/>
          <w:color w:val="1F4E79" w:themeColor="accent1" w:themeShade="80"/>
          <w:sz w:val="22"/>
          <w:szCs w:val="22"/>
        </w:rPr>
      </w:pPr>
      <w:r>
        <w:rPr>
          <w:rFonts w:ascii="Calibri" w:hAnsi="Calibri" w:cs="Calibri"/>
          <w:color w:val="1F4E79" w:themeColor="accent1" w:themeShade="80"/>
          <w:sz w:val="22"/>
          <w:szCs w:val="22"/>
        </w:rPr>
        <w:t>Αναφορικά με</w:t>
      </w:r>
      <w:r w:rsidR="00947F28">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την πρόταση να συμπεριληφθούν τα κτίρια άλλης χρήσης, σημειώνεται ότι η συντριπτική πλειονότητα των κτιρίων </w:t>
      </w:r>
      <w:r w:rsidR="00A90EFD">
        <w:rPr>
          <w:rFonts w:ascii="Calibri" w:hAnsi="Calibri" w:cs="Calibri"/>
          <w:color w:val="1F4E79" w:themeColor="accent1" w:themeShade="80"/>
          <w:sz w:val="22"/>
          <w:szCs w:val="22"/>
        </w:rPr>
        <w:t xml:space="preserve">αυτών </w:t>
      </w:r>
      <w:r>
        <w:rPr>
          <w:rFonts w:ascii="Calibri" w:hAnsi="Calibri" w:cs="Calibri"/>
          <w:color w:val="1F4E79" w:themeColor="accent1" w:themeShade="80"/>
          <w:sz w:val="22"/>
          <w:szCs w:val="22"/>
        </w:rPr>
        <w:t xml:space="preserve">βρίσκεται στην επαρχία και αφορά κατασκευές </w:t>
      </w:r>
      <w:r>
        <w:rPr>
          <w:rFonts w:ascii="Calibri" w:hAnsi="Calibri" w:cs="Calibri"/>
          <w:color w:val="1F4E79" w:themeColor="accent1" w:themeShade="80"/>
          <w:sz w:val="22"/>
          <w:szCs w:val="22"/>
        </w:rPr>
        <w:lastRenderedPageBreak/>
        <w:t>χωρίς ορόφους και σε μεγάλο βαθμό με ειδικά υλικά κατασκευής (π.χ. οροφές από φύλλα επικάλυψης). Ως εκ τούτου, για την αποφυγή να συμπεριληφθούν κτίρια που είναι αποθήκες ή άλλα κτίσματα χωρίς τηλέφωνο ή ευρυζωνικές υποδομές, συμπεριελήφθησαν στ</w:t>
      </w:r>
      <w:r w:rsidR="00A90EFD">
        <w:rPr>
          <w:rFonts w:ascii="Calibri" w:hAnsi="Calibri" w:cs="Calibri"/>
          <w:color w:val="1F4E79" w:themeColor="accent1" w:themeShade="80"/>
          <w:sz w:val="22"/>
          <w:szCs w:val="22"/>
        </w:rPr>
        <w:t xml:space="preserve">ο </w:t>
      </w:r>
      <w:r>
        <w:rPr>
          <w:rFonts w:ascii="Calibri" w:hAnsi="Calibri" w:cs="Calibri"/>
          <w:color w:val="1F4E79" w:themeColor="accent1" w:themeShade="80"/>
          <w:sz w:val="22"/>
          <w:szCs w:val="22"/>
        </w:rPr>
        <w:t xml:space="preserve">μοντέλο μόνο τα κτίρια άλλης χρήσης που έχουν </w:t>
      </w:r>
      <w:r w:rsidR="0090170F">
        <w:rPr>
          <w:rFonts w:ascii="Calibri" w:hAnsi="Calibri" w:cs="Calibri"/>
          <w:color w:val="1F4E79" w:themeColor="accent1" w:themeShade="80"/>
          <w:sz w:val="22"/>
          <w:szCs w:val="22"/>
        </w:rPr>
        <w:t>περισσότερους από έναν</w:t>
      </w:r>
      <w:r>
        <w:rPr>
          <w:rFonts w:ascii="Calibri" w:hAnsi="Calibri" w:cs="Calibri"/>
          <w:color w:val="1F4E79" w:themeColor="accent1" w:themeShade="80"/>
          <w:sz w:val="22"/>
          <w:szCs w:val="22"/>
        </w:rPr>
        <w:t xml:space="preserve"> </w:t>
      </w:r>
      <w:r w:rsidR="0090170F">
        <w:rPr>
          <w:rFonts w:ascii="Calibri" w:hAnsi="Calibri" w:cs="Calibri"/>
          <w:color w:val="1F4E79" w:themeColor="accent1" w:themeShade="80"/>
          <w:sz w:val="22"/>
          <w:szCs w:val="22"/>
        </w:rPr>
        <w:t>ό</w:t>
      </w:r>
      <w:r>
        <w:rPr>
          <w:rFonts w:ascii="Calibri" w:hAnsi="Calibri" w:cs="Calibri"/>
          <w:color w:val="1F4E79" w:themeColor="accent1" w:themeShade="80"/>
          <w:sz w:val="22"/>
          <w:szCs w:val="22"/>
        </w:rPr>
        <w:t>ρ</w:t>
      </w:r>
      <w:r w:rsidR="0090170F">
        <w:rPr>
          <w:rFonts w:ascii="Calibri" w:hAnsi="Calibri" w:cs="Calibri"/>
          <w:color w:val="1F4E79" w:themeColor="accent1" w:themeShade="80"/>
          <w:sz w:val="22"/>
          <w:szCs w:val="22"/>
        </w:rPr>
        <w:t>ο</w:t>
      </w:r>
      <w:r>
        <w:rPr>
          <w:rFonts w:ascii="Calibri" w:hAnsi="Calibri" w:cs="Calibri"/>
          <w:color w:val="1F4E79" w:themeColor="accent1" w:themeShade="80"/>
          <w:sz w:val="22"/>
          <w:szCs w:val="22"/>
        </w:rPr>
        <w:t>φο, τα οποία αφορούν ως επί το πλείστον αστικές περιοχές.</w:t>
      </w:r>
    </w:p>
    <w:p w14:paraId="37914214" w14:textId="77777777" w:rsidR="008B1A3E" w:rsidRDefault="008B1A3E" w:rsidP="004014AE">
      <w:pPr>
        <w:pStyle w:val="ab"/>
        <w:spacing w:before="143" w:line="259" w:lineRule="auto"/>
        <w:ind w:right="135"/>
        <w:rPr>
          <w:rFonts w:ascii="Calibri" w:hAnsi="Calibri" w:cs="Calibri"/>
          <w:sz w:val="22"/>
          <w:szCs w:val="22"/>
        </w:rPr>
      </w:pPr>
    </w:p>
    <w:p w14:paraId="6732237B" w14:textId="0B15DF0F" w:rsidR="004014AE" w:rsidRPr="00603E4A" w:rsidRDefault="004014AE" w:rsidP="00392B3A">
      <w:pPr>
        <w:pStyle w:val="2"/>
        <w:keepNext w:val="0"/>
        <w:widowControl w:val="0"/>
        <w:numPr>
          <w:ilvl w:val="1"/>
          <w:numId w:val="6"/>
        </w:numPr>
        <w:tabs>
          <w:tab w:val="left" w:pos="722"/>
        </w:tabs>
        <w:autoSpaceDE w:val="0"/>
        <w:autoSpaceDN w:val="0"/>
        <w:spacing w:line="240" w:lineRule="auto"/>
        <w:jc w:val="both"/>
        <w:rPr>
          <w:rFonts w:ascii="Calibri" w:hAnsi="Calibri" w:cs="Calibri"/>
          <w:b w:val="0"/>
          <w:color w:val="2E5395"/>
          <w:sz w:val="22"/>
          <w:szCs w:val="22"/>
        </w:rPr>
      </w:pPr>
      <w:r w:rsidRPr="00063071">
        <w:rPr>
          <w:rFonts w:ascii="Calibri" w:hAnsi="Calibri" w:cs="Calibri"/>
          <w:b w:val="0"/>
          <w:color w:val="2E5395"/>
          <w:sz w:val="22"/>
          <w:szCs w:val="22"/>
        </w:rPr>
        <w:t>Υπόθεση</w:t>
      </w:r>
      <w:r w:rsidRPr="00603E4A">
        <w:rPr>
          <w:rFonts w:ascii="Calibri" w:hAnsi="Calibri" w:cs="Calibri"/>
          <w:b w:val="0"/>
          <w:color w:val="2E5395"/>
          <w:sz w:val="22"/>
          <w:szCs w:val="22"/>
        </w:rPr>
        <w:t xml:space="preserve"> </w:t>
      </w:r>
      <w:proofErr w:type="spellStart"/>
      <w:r w:rsidRPr="00063071">
        <w:rPr>
          <w:rFonts w:ascii="Calibri" w:hAnsi="Calibri" w:cs="Calibri"/>
          <w:b w:val="0"/>
          <w:color w:val="2E5395"/>
          <w:sz w:val="22"/>
          <w:szCs w:val="22"/>
        </w:rPr>
        <w:t>Modified</w:t>
      </w:r>
      <w:proofErr w:type="spellEnd"/>
      <w:r w:rsidRPr="00603E4A">
        <w:rPr>
          <w:rFonts w:ascii="Calibri" w:hAnsi="Calibri" w:cs="Calibri"/>
          <w:b w:val="0"/>
          <w:color w:val="2E5395"/>
          <w:sz w:val="22"/>
          <w:szCs w:val="22"/>
        </w:rPr>
        <w:t xml:space="preserve"> </w:t>
      </w:r>
      <w:proofErr w:type="spellStart"/>
      <w:r w:rsidRPr="00063071">
        <w:rPr>
          <w:rFonts w:ascii="Calibri" w:hAnsi="Calibri" w:cs="Calibri"/>
          <w:b w:val="0"/>
          <w:color w:val="2E5395"/>
          <w:sz w:val="22"/>
          <w:szCs w:val="22"/>
        </w:rPr>
        <w:t>Scorch</w:t>
      </w:r>
      <w:proofErr w:type="spellEnd"/>
      <w:r w:rsidRPr="00603E4A">
        <w:rPr>
          <w:rFonts w:ascii="Calibri" w:hAnsi="Calibri" w:cs="Calibri"/>
          <w:b w:val="0"/>
          <w:color w:val="2E5395"/>
          <w:sz w:val="22"/>
          <w:szCs w:val="22"/>
        </w:rPr>
        <w:t xml:space="preserve"> </w:t>
      </w:r>
      <w:r w:rsidRPr="00063071">
        <w:rPr>
          <w:rFonts w:ascii="Calibri" w:hAnsi="Calibri" w:cs="Calibri"/>
          <w:b w:val="0"/>
          <w:color w:val="2E5395"/>
          <w:sz w:val="22"/>
          <w:szCs w:val="22"/>
        </w:rPr>
        <w:t>Node</w:t>
      </w:r>
      <w:r w:rsidRPr="00603E4A">
        <w:rPr>
          <w:rFonts w:ascii="Calibri" w:hAnsi="Calibri" w:cs="Calibri"/>
          <w:b w:val="0"/>
          <w:color w:val="2E5395"/>
          <w:sz w:val="22"/>
          <w:szCs w:val="22"/>
        </w:rPr>
        <w:t xml:space="preserve"> </w:t>
      </w:r>
      <w:r w:rsidRPr="00063071">
        <w:rPr>
          <w:rFonts w:ascii="Calibri" w:hAnsi="Calibri" w:cs="Calibri"/>
          <w:b w:val="0"/>
          <w:color w:val="2E5395"/>
          <w:sz w:val="22"/>
          <w:szCs w:val="22"/>
        </w:rPr>
        <w:t>–</w:t>
      </w:r>
      <w:r w:rsidRPr="00603E4A">
        <w:rPr>
          <w:rFonts w:ascii="Calibri" w:hAnsi="Calibri" w:cs="Calibri"/>
          <w:b w:val="0"/>
          <w:color w:val="2E5395"/>
          <w:sz w:val="22"/>
          <w:szCs w:val="22"/>
        </w:rPr>
        <w:t xml:space="preserve"> </w:t>
      </w:r>
      <w:r w:rsidRPr="00063071">
        <w:rPr>
          <w:rFonts w:ascii="Calibri" w:hAnsi="Calibri" w:cs="Calibri"/>
          <w:b w:val="0"/>
          <w:color w:val="2E5395"/>
          <w:sz w:val="22"/>
          <w:szCs w:val="22"/>
        </w:rPr>
        <w:t>Θέσεις</w:t>
      </w:r>
      <w:r w:rsidRPr="00603E4A">
        <w:rPr>
          <w:rFonts w:ascii="Calibri" w:hAnsi="Calibri" w:cs="Calibri"/>
          <w:b w:val="0"/>
          <w:color w:val="2E5395"/>
          <w:sz w:val="22"/>
          <w:szCs w:val="22"/>
        </w:rPr>
        <w:t xml:space="preserve"> </w:t>
      </w:r>
      <w:r w:rsidRPr="00063071">
        <w:rPr>
          <w:rFonts w:ascii="Calibri" w:hAnsi="Calibri" w:cs="Calibri"/>
          <w:b w:val="0"/>
          <w:color w:val="2E5395"/>
          <w:sz w:val="22"/>
          <w:szCs w:val="22"/>
        </w:rPr>
        <w:t>ΑΚ</w:t>
      </w:r>
      <w:r w:rsidRPr="00603E4A">
        <w:rPr>
          <w:rFonts w:ascii="Calibri" w:hAnsi="Calibri" w:cs="Calibri"/>
          <w:b w:val="0"/>
          <w:color w:val="2E5395"/>
          <w:sz w:val="22"/>
          <w:szCs w:val="22"/>
        </w:rPr>
        <w:t xml:space="preserve"> </w:t>
      </w:r>
      <w:r w:rsidRPr="00063071">
        <w:rPr>
          <w:rFonts w:ascii="Calibri" w:hAnsi="Calibri" w:cs="Calibri"/>
          <w:b w:val="0"/>
          <w:color w:val="2E5395"/>
          <w:sz w:val="22"/>
          <w:szCs w:val="22"/>
        </w:rPr>
        <w:t>και</w:t>
      </w:r>
      <w:r w:rsidRPr="00603E4A">
        <w:rPr>
          <w:rFonts w:ascii="Calibri" w:hAnsi="Calibri" w:cs="Calibri"/>
          <w:b w:val="0"/>
          <w:color w:val="2E5395"/>
          <w:sz w:val="22"/>
          <w:szCs w:val="22"/>
        </w:rPr>
        <w:t xml:space="preserve"> Καμπινών</w:t>
      </w:r>
    </w:p>
    <w:p w14:paraId="09881687" w14:textId="16834839" w:rsidR="004014AE" w:rsidRDefault="004014AE"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αναφέρει ότι παρόλο που κάποια ΑΚ αφαιρέθηκαν ως </w:t>
      </w:r>
      <w:proofErr w:type="spellStart"/>
      <w:r w:rsidRPr="004014AE">
        <w:rPr>
          <w:rFonts w:ascii="Calibri" w:hAnsi="Calibri" w:cs="Calibri"/>
          <w:sz w:val="22"/>
          <w:szCs w:val="22"/>
        </w:rPr>
        <w:t>Passthrough</w:t>
      </w:r>
      <w:proofErr w:type="spellEnd"/>
      <w:r w:rsidRPr="005258C8">
        <w:rPr>
          <w:rFonts w:ascii="Calibri" w:hAnsi="Calibri" w:cs="Calibri"/>
          <w:sz w:val="22"/>
          <w:szCs w:val="22"/>
        </w:rPr>
        <w:t xml:space="preserve">, </w:t>
      </w:r>
      <w:r>
        <w:rPr>
          <w:rFonts w:ascii="Calibri" w:hAnsi="Calibri" w:cs="Calibri"/>
          <w:sz w:val="22"/>
          <w:szCs w:val="22"/>
        </w:rPr>
        <w:t xml:space="preserve">δεν αναφέρεται αν υπάρχει υπολογισμός μεταφοράς ινών από ένα </w:t>
      </w:r>
      <w:r w:rsidRPr="004014AE">
        <w:rPr>
          <w:rFonts w:ascii="Calibri" w:hAnsi="Calibri" w:cs="Calibri"/>
          <w:sz w:val="22"/>
          <w:szCs w:val="22"/>
        </w:rPr>
        <w:t>AK</w:t>
      </w:r>
      <w:r w:rsidRPr="005258C8">
        <w:rPr>
          <w:rFonts w:ascii="Calibri" w:hAnsi="Calibri" w:cs="Calibri"/>
          <w:sz w:val="22"/>
          <w:szCs w:val="22"/>
        </w:rPr>
        <w:t xml:space="preserve"> </w:t>
      </w:r>
      <w:proofErr w:type="spellStart"/>
      <w:r w:rsidRPr="004014AE">
        <w:rPr>
          <w:rFonts w:ascii="Calibri" w:hAnsi="Calibri" w:cs="Calibri"/>
          <w:sz w:val="22"/>
          <w:szCs w:val="22"/>
        </w:rPr>
        <w:t>Passthrough</w:t>
      </w:r>
      <w:proofErr w:type="spellEnd"/>
      <w:r w:rsidRPr="005258C8">
        <w:rPr>
          <w:rFonts w:ascii="Calibri" w:hAnsi="Calibri" w:cs="Calibri"/>
          <w:sz w:val="22"/>
          <w:szCs w:val="22"/>
        </w:rPr>
        <w:t xml:space="preserve">, </w:t>
      </w:r>
      <w:r>
        <w:rPr>
          <w:rFonts w:ascii="Calibri" w:hAnsi="Calibri" w:cs="Calibri"/>
          <w:sz w:val="22"/>
          <w:szCs w:val="22"/>
        </w:rPr>
        <w:t xml:space="preserve">αναφέρεται ότι η διαστασιοποίηση </w:t>
      </w:r>
      <w:r w:rsidRPr="00063071">
        <w:rPr>
          <w:rFonts w:ascii="Calibri" w:hAnsi="Calibri" w:cs="Calibri"/>
          <w:sz w:val="22"/>
          <w:szCs w:val="22"/>
        </w:rPr>
        <w:t>για τα μήκη των ινών ξεκινάει από κάθε ΑΚ</w:t>
      </w:r>
      <w:r>
        <w:rPr>
          <w:rFonts w:ascii="Calibri" w:hAnsi="Calibri" w:cs="Calibri"/>
          <w:sz w:val="22"/>
          <w:szCs w:val="22"/>
        </w:rPr>
        <w:t xml:space="preserve">, οπότε αν χρησιμοποιήθηκαν για τη διαχείριση ινών θα πρέπει να φέρουν κάποιο κόστος. Δεν υπάρχει μνεία για </w:t>
      </w:r>
      <w:r w:rsidRPr="00063071">
        <w:rPr>
          <w:rFonts w:ascii="Calibri" w:hAnsi="Calibri" w:cs="Calibri"/>
          <w:sz w:val="22"/>
          <w:szCs w:val="22"/>
        </w:rPr>
        <w:t xml:space="preserve">την αλλαγή της αρχιτεκτονικής του δικτύου που θα επιφέρει το </w:t>
      </w:r>
      <w:proofErr w:type="spellStart"/>
      <w:r w:rsidRPr="00063071">
        <w:rPr>
          <w:rFonts w:ascii="Calibri" w:hAnsi="Calibri" w:cs="Calibri"/>
          <w:sz w:val="22"/>
          <w:szCs w:val="22"/>
        </w:rPr>
        <w:t>cooper</w:t>
      </w:r>
      <w:proofErr w:type="spellEnd"/>
      <w:r w:rsidRPr="00063071">
        <w:rPr>
          <w:rFonts w:ascii="Calibri" w:hAnsi="Calibri" w:cs="Calibri"/>
          <w:sz w:val="22"/>
          <w:szCs w:val="22"/>
        </w:rPr>
        <w:t xml:space="preserve"> switch off</w:t>
      </w:r>
      <w:r>
        <w:rPr>
          <w:rFonts w:ascii="Calibri" w:hAnsi="Calibri" w:cs="Calibri"/>
          <w:sz w:val="22"/>
          <w:szCs w:val="22"/>
        </w:rPr>
        <w:t>, οπότε ε</w:t>
      </w:r>
      <w:r w:rsidRPr="00063071">
        <w:rPr>
          <w:rFonts w:ascii="Calibri" w:hAnsi="Calibri" w:cs="Calibri"/>
          <w:sz w:val="22"/>
          <w:szCs w:val="22"/>
        </w:rPr>
        <w:t xml:space="preserve">λλείψει άλλης πληροφορίας, </w:t>
      </w:r>
      <w:r>
        <w:rPr>
          <w:rFonts w:ascii="Calibri" w:hAnsi="Calibri" w:cs="Calibri"/>
          <w:sz w:val="22"/>
          <w:szCs w:val="22"/>
        </w:rPr>
        <w:t>υποθέτει</w:t>
      </w:r>
      <w:r w:rsidRPr="00063071">
        <w:rPr>
          <w:rFonts w:ascii="Calibri" w:hAnsi="Calibri" w:cs="Calibri"/>
          <w:sz w:val="22"/>
          <w:szCs w:val="22"/>
        </w:rPr>
        <w:t xml:space="preserve"> πως το μοντέλο θεωρεί ότι τα ΑΚ θα παραμείνουν ως σημεία διασύνδεσης για τις υπηρεσίες ΟΚΣΥΑ</w:t>
      </w:r>
      <w:r>
        <w:rPr>
          <w:rFonts w:ascii="Calibri" w:hAnsi="Calibri" w:cs="Calibri"/>
          <w:sz w:val="22"/>
          <w:szCs w:val="22"/>
        </w:rPr>
        <w:t xml:space="preserve">. Αντίστοιχο σχόλιο </w:t>
      </w:r>
      <w:r w:rsidRPr="00063071">
        <w:rPr>
          <w:rFonts w:ascii="Calibri" w:hAnsi="Calibri" w:cs="Calibri"/>
          <w:sz w:val="22"/>
          <w:szCs w:val="22"/>
        </w:rPr>
        <w:t>σχετικά</w:t>
      </w:r>
      <w:r w:rsidRPr="004014AE">
        <w:rPr>
          <w:rFonts w:ascii="Calibri" w:hAnsi="Calibri" w:cs="Calibri"/>
          <w:sz w:val="22"/>
          <w:szCs w:val="22"/>
        </w:rPr>
        <w:t xml:space="preserve"> </w:t>
      </w:r>
      <w:r w:rsidRPr="00063071">
        <w:rPr>
          <w:rFonts w:ascii="Calibri" w:hAnsi="Calibri" w:cs="Calibri"/>
          <w:sz w:val="22"/>
          <w:szCs w:val="22"/>
        </w:rPr>
        <w:t>με</w:t>
      </w:r>
      <w:r w:rsidRPr="004014AE">
        <w:rPr>
          <w:rFonts w:ascii="Calibri" w:hAnsi="Calibri" w:cs="Calibri"/>
          <w:sz w:val="22"/>
          <w:szCs w:val="22"/>
        </w:rPr>
        <w:t xml:space="preserve"> </w:t>
      </w:r>
      <w:r w:rsidRPr="00063071">
        <w:rPr>
          <w:rFonts w:ascii="Calibri" w:hAnsi="Calibri" w:cs="Calibri"/>
          <w:sz w:val="22"/>
          <w:szCs w:val="22"/>
        </w:rPr>
        <w:t>την</w:t>
      </w:r>
      <w:r w:rsidRPr="004014AE">
        <w:rPr>
          <w:rFonts w:ascii="Calibri" w:hAnsi="Calibri" w:cs="Calibri"/>
          <w:sz w:val="22"/>
          <w:szCs w:val="22"/>
        </w:rPr>
        <w:t xml:space="preserve"> </w:t>
      </w:r>
      <w:r w:rsidRPr="00063071">
        <w:rPr>
          <w:rFonts w:ascii="Calibri" w:hAnsi="Calibri" w:cs="Calibri"/>
          <w:sz w:val="22"/>
          <w:szCs w:val="22"/>
        </w:rPr>
        <w:t>επαναχρησιμοποίηση</w:t>
      </w:r>
      <w:r w:rsidRPr="004014AE">
        <w:rPr>
          <w:rFonts w:ascii="Calibri" w:hAnsi="Calibri" w:cs="Calibri"/>
          <w:sz w:val="22"/>
          <w:szCs w:val="22"/>
        </w:rPr>
        <w:t xml:space="preserve"> </w:t>
      </w:r>
      <w:r w:rsidRPr="00063071">
        <w:rPr>
          <w:rFonts w:ascii="Calibri" w:hAnsi="Calibri" w:cs="Calibri"/>
          <w:sz w:val="22"/>
          <w:szCs w:val="22"/>
        </w:rPr>
        <w:t>των</w:t>
      </w:r>
      <w:r w:rsidRPr="004014AE">
        <w:rPr>
          <w:rFonts w:ascii="Calibri" w:hAnsi="Calibri" w:cs="Calibri"/>
          <w:sz w:val="22"/>
          <w:szCs w:val="22"/>
        </w:rPr>
        <w:t xml:space="preserve"> </w:t>
      </w:r>
      <w:r w:rsidRPr="00063071">
        <w:rPr>
          <w:rFonts w:ascii="Calibri" w:hAnsi="Calibri" w:cs="Calibri"/>
          <w:sz w:val="22"/>
          <w:szCs w:val="22"/>
        </w:rPr>
        <w:t>καμπινών</w:t>
      </w:r>
      <w:r w:rsidRPr="004014AE">
        <w:rPr>
          <w:rFonts w:ascii="Calibri" w:hAnsi="Calibri" w:cs="Calibri"/>
          <w:sz w:val="22"/>
          <w:szCs w:val="22"/>
        </w:rPr>
        <w:t xml:space="preserve"> </w:t>
      </w:r>
      <w:r w:rsidRPr="00063071">
        <w:rPr>
          <w:rFonts w:ascii="Calibri" w:hAnsi="Calibri" w:cs="Calibri"/>
          <w:sz w:val="22"/>
          <w:szCs w:val="22"/>
        </w:rPr>
        <w:t>FTTC.</w:t>
      </w:r>
    </w:p>
    <w:p w14:paraId="525E8E2F" w14:textId="336C6D4F" w:rsidR="00573679" w:rsidRPr="00063071" w:rsidRDefault="00573679" w:rsidP="004014AE">
      <w:pPr>
        <w:pStyle w:val="ab"/>
        <w:spacing w:before="143" w:line="259" w:lineRule="auto"/>
        <w:ind w:right="136"/>
        <w:rPr>
          <w:rFonts w:ascii="Calibri" w:hAnsi="Calibri" w:cs="Calibri"/>
          <w:sz w:val="22"/>
          <w:szCs w:val="22"/>
        </w:rPr>
      </w:pPr>
      <w:r w:rsidRPr="00573679">
        <w:rPr>
          <w:rFonts w:ascii="Calibri" w:hAnsi="Calibri" w:cs="Calibri"/>
          <w:sz w:val="22"/>
          <w:szCs w:val="22"/>
        </w:rPr>
        <w:t xml:space="preserve">Ένας συμμετέχων </w:t>
      </w:r>
      <w:r w:rsidR="003C28FC">
        <w:rPr>
          <w:rFonts w:ascii="Calibri" w:hAnsi="Calibri" w:cs="Calibri"/>
          <w:sz w:val="22"/>
          <w:szCs w:val="22"/>
        </w:rPr>
        <w:t>(----)</w:t>
      </w:r>
      <w:r w:rsidRPr="00573679">
        <w:rPr>
          <w:rFonts w:ascii="Calibri" w:hAnsi="Calibri" w:cs="Calibri"/>
          <w:sz w:val="22"/>
          <w:szCs w:val="22"/>
        </w:rPr>
        <w:t xml:space="preserve"> επισημαίνει ότι στο υπό διαβούλευση μοντέλο προβλέπονται 40.237 καμπίνες δικτύου χαλκού (το στοιχείο παγίου «</w:t>
      </w:r>
      <w:proofErr w:type="spellStart"/>
      <w:r w:rsidRPr="00573679">
        <w:rPr>
          <w:rFonts w:ascii="Calibri" w:hAnsi="Calibri" w:cs="Calibri"/>
          <w:sz w:val="22"/>
          <w:szCs w:val="22"/>
        </w:rPr>
        <w:t>Cabinet</w:t>
      </w:r>
      <w:proofErr w:type="spellEnd"/>
      <w:r w:rsidRPr="00573679">
        <w:rPr>
          <w:rFonts w:ascii="Calibri" w:hAnsi="Calibri" w:cs="Calibri"/>
          <w:sz w:val="22"/>
          <w:szCs w:val="22"/>
        </w:rPr>
        <w:t>(KV)»), καθώς και 20.671 καμπίνες δικτύου FTTC (στοιχείο παγίου «</w:t>
      </w:r>
      <w:proofErr w:type="spellStart"/>
      <w:r w:rsidRPr="00573679">
        <w:rPr>
          <w:rFonts w:ascii="Calibri" w:hAnsi="Calibri" w:cs="Calibri"/>
          <w:sz w:val="22"/>
          <w:szCs w:val="22"/>
        </w:rPr>
        <w:t>Cabinet</w:t>
      </w:r>
      <w:proofErr w:type="spellEnd"/>
      <w:r w:rsidRPr="00573679">
        <w:rPr>
          <w:rFonts w:ascii="Calibri" w:hAnsi="Calibri" w:cs="Calibri"/>
          <w:sz w:val="22"/>
          <w:szCs w:val="22"/>
        </w:rPr>
        <w:t xml:space="preserve">»)2. Το άθροισμα των </w:t>
      </w:r>
      <w:proofErr w:type="spellStart"/>
      <w:r w:rsidRPr="00573679">
        <w:rPr>
          <w:rFonts w:ascii="Calibri" w:hAnsi="Calibri" w:cs="Calibri"/>
          <w:sz w:val="22"/>
          <w:szCs w:val="22"/>
        </w:rPr>
        <w:t>διαστασιοποιημένων</w:t>
      </w:r>
      <w:proofErr w:type="spellEnd"/>
      <w:r w:rsidRPr="00573679">
        <w:rPr>
          <w:rFonts w:ascii="Calibri" w:hAnsi="Calibri" w:cs="Calibri"/>
          <w:sz w:val="22"/>
          <w:szCs w:val="22"/>
        </w:rPr>
        <w:t xml:space="preserve"> 60.908 καμπινών θα έπρεπε να αντιστοιχεί σε ένα δίκτυο πανελλαδικής κάλυψης. Ωστόσο, το άθροισμα των ως άνω καμπινών είναι κατά 59% υψηλότερο του συνόλου των </w:t>
      </w:r>
      <w:proofErr w:type="spellStart"/>
      <w:r w:rsidRPr="00573679">
        <w:rPr>
          <w:rFonts w:ascii="Calibri" w:hAnsi="Calibri" w:cs="Calibri"/>
          <w:sz w:val="22"/>
          <w:szCs w:val="22"/>
        </w:rPr>
        <w:t>διαστασιοποιημένων</w:t>
      </w:r>
      <w:proofErr w:type="spellEnd"/>
      <w:r w:rsidRPr="00573679">
        <w:rPr>
          <w:rFonts w:ascii="Calibri" w:hAnsi="Calibri" w:cs="Calibri"/>
          <w:sz w:val="22"/>
          <w:szCs w:val="22"/>
        </w:rPr>
        <w:t xml:space="preserve"> καμπινών δικτύου χαλκού που έχουν προσδιοριστεί στο αρχικό μοντέλο. Ο ίδιος συμμετέχων σημειώνει ότι μια τέτοια υπόθεση δεν ευθυγραμμίζεται με τις βασικές αρχές του υπό διαβούλευση μοντέλου, σύμφωνα με τις οποίες ρητά προβλέπεται η μη συνύπαρξη/ επικάλυψη των δύο αυτών τύπων δικτύου. Στο πλαίσιο αυτό ο συμμετέχων </w:t>
      </w:r>
      <w:r w:rsidR="003C28FC">
        <w:rPr>
          <w:rFonts w:ascii="Calibri" w:hAnsi="Calibri" w:cs="Calibri"/>
          <w:sz w:val="22"/>
          <w:szCs w:val="22"/>
        </w:rPr>
        <w:t>(----)</w:t>
      </w:r>
      <w:r w:rsidRPr="00573679">
        <w:rPr>
          <w:rFonts w:ascii="Calibri" w:hAnsi="Calibri" w:cs="Calibri"/>
          <w:sz w:val="22"/>
          <w:szCs w:val="22"/>
        </w:rPr>
        <w:t xml:space="preserve"> καλεί την ΕΕΤΤ να μειώσει τον αριθμό των υλοποιημένων καμπινών στα </w:t>
      </w:r>
      <w:proofErr w:type="spellStart"/>
      <w:r w:rsidRPr="00573679">
        <w:rPr>
          <w:rFonts w:ascii="Calibri" w:hAnsi="Calibri" w:cs="Calibri"/>
          <w:sz w:val="22"/>
          <w:szCs w:val="22"/>
        </w:rPr>
        <w:t>μοντελοποιημένα</w:t>
      </w:r>
      <w:proofErr w:type="spellEnd"/>
      <w:r w:rsidRPr="00573679">
        <w:rPr>
          <w:rFonts w:ascii="Calibri" w:hAnsi="Calibri" w:cs="Calibri"/>
          <w:sz w:val="22"/>
          <w:szCs w:val="22"/>
        </w:rPr>
        <w:t xml:space="preserve"> δίκτυα χαλκού και FTTC, ώστε το άθροισμά τους να ευθυγραμμίζεται με το σύνολο των καμπινών που έχουν υπολογιστεί στο αρχικό μοντέλο.</w:t>
      </w:r>
    </w:p>
    <w:p w14:paraId="0A98F4D4"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28F51D2B" w14:textId="3D00C387"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17497B">
        <w:rPr>
          <w:rFonts w:ascii="Calibri" w:hAnsi="Calibri" w:cs="Calibri"/>
          <w:b/>
          <w:color w:val="1F4E79" w:themeColor="accent1" w:themeShade="80"/>
          <w:sz w:val="22"/>
          <w:szCs w:val="22"/>
          <w:u w:val="single"/>
        </w:rPr>
        <w:t>7</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44D501A6" w14:textId="35AAA8E8" w:rsidR="004014AE" w:rsidRDefault="0017497B" w:rsidP="00C219A0">
      <w:pPr>
        <w:pStyle w:val="ab"/>
        <w:spacing w:before="75"/>
        <w:rPr>
          <w:rFonts w:ascii="Calibri" w:hAnsi="Calibri" w:cs="Calibri"/>
          <w:color w:val="1F4E79" w:themeColor="accent1" w:themeShade="80"/>
          <w:sz w:val="22"/>
          <w:szCs w:val="22"/>
        </w:rPr>
      </w:pPr>
      <w:r>
        <w:rPr>
          <w:rFonts w:ascii="Calibri" w:hAnsi="Calibri" w:cs="Calibri"/>
          <w:color w:val="1F4E79" w:themeColor="accent1" w:themeShade="80"/>
          <w:sz w:val="22"/>
          <w:szCs w:val="22"/>
        </w:rPr>
        <w:t>Σχετικά με την αρχιτεκτονική του δικτύου</w:t>
      </w:r>
      <w:r w:rsidR="00C219A0">
        <w:rPr>
          <w:rFonts w:ascii="Calibri" w:hAnsi="Calibri" w:cs="Calibri"/>
          <w:color w:val="1F4E79" w:themeColor="accent1" w:themeShade="80"/>
          <w:sz w:val="22"/>
          <w:szCs w:val="22"/>
        </w:rPr>
        <w:t xml:space="preserve"> σε επίπεδο ΑΚ</w:t>
      </w:r>
      <w:r>
        <w:rPr>
          <w:rFonts w:ascii="Calibri" w:hAnsi="Calibri" w:cs="Calibri"/>
          <w:color w:val="1F4E79" w:themeColor="accent1" w:themeShade="80"/>
          <w:sz w:val="22"/>
          <w:szCs w:val="22"/>
        </w:rPr>
        <w:t xml:space="preserve">, η ΕΕΤΤ </w:t>
      </w:r>
      <w:r w:rsidR="00C219A0">
        <w:rPr>
          <w:rFonts w:ascii="Calibri" w:hAnsi="Calibri" w:cs="Calibri"/>
          <w:color w:val="1F4E79" w:themeColor="accent1" w:themeShade="80"/>
          <w:sz w:val="22"/>
          <w:szCs w:val="22"/>
        </w:rPr>
        <w:t>θεωρεί ότι το κόστος εξοπλισμού που αποτυπώνεται στο μοντέλο είναι υπολογισμένο με αποδοτικό τρόπο για να καλύπτει την παροχή των μοντελοποιημέν</w:t>
      </w:r>
      <w:r w:rsidR="00371DE8">
        <w:rPr>
          <w:rFonts w:ascii="Calibri" w:hAnsi="Calibri" w:cs="Calibri"/>
          <w:color w:val="1F4E79" w:themeColor="accent1" w:themeShade="80"/>
          <w:sz w:val="22"/>
          <w:szCs w:val="22"/>
        </w:rPr>
        <w:t xml:space="preserve">ων </w:t>
      </w:r>
      <w:r w:rsidR="00C219A0">
        <w:rPr>
          <w:rFonts w:ascii="Calibri" w:hAnsi="Calibri" w:cs="Calibri"/>
          <w:color w:val="1F4E79" w:themeColor="accent1" w:themeShade="80"/>
          <w:sz w:val="22"/>
          <w:szCs w:val="22"/>
        </w:rPr>
        <w:t xml:space="preserve">υπηρεσιών. Ως εκ τούτου, κρίνεται ότι δεν απαιτείται να συμπεριληφθεί επιπλέον κόστος για την υλοποίηση του </w:t>
      </w:r>
      <w:r w:rsidR="00C219A0">
        <w:rPr>
          <w:rFonts w:ascii="Calibri" w:hAnsi="Calibri" w:cs="Calibri"/>
          <w:color w:val="1F4E79" w:themeColor="accent1" w:themeShade="80"/>
          <w:sz w:val="22"/>
          <w:szCs w:val="22"/>
          <w:lang w:val="en-US"/>
        </w:rPr>
        <w:t>passthrough</w:t>
      </w:r>
      <w:r w:rsidR="00C219A0" w:rsidRPr="00C219A0">
        <w:rPr>
          <w:rFonts w:ascii="Calibri" w:hAnsi="Calibri" w:cs="Calibri"/>
          <w:color w:val="1F4E79" w:themeColor="accent1" w:themeShade="80"/>
          <w:sz w:val="22"/>
          <w:szCs w:val="22"/>
        </w:rPr>
        <w:t>.</w:t>
      </w:r>
      <w:r w:rsidR="00C219A0">
        <w:rPr>
          <w:rFonts w:ascii="Calibri" w:hAnsi="Calibri" w:cs="Calibri"/>
          <w:color w:val="1F4E79" w:themeColor="accent1" w:themeShade="80"/>
          <w:sz w:val="22"/>
          <w:szCs w:val="22"/>
        </w:rPr>
        <w:t xml:space="preserve"> Επίσης, σημειώνεται ότι τα ενεργά ΑΚ θα παραμείνουν ως σημεία διασύνδεσης των υπηρεσιών ΟΚΣΥΑ.</w:t>
      </w:r>
    </w:p>
    <w:p w14:paraId="02E2ACA7" w14:textId="4C9D0580" w:rsidR="00C219A0" w:rsidRDefault="00C219A0" w:rsidP="00C219A0">
      <w:pPr>
        <w:pStyle w:val="ab"/>
        <w:spacing w:before="75"/>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Αναφορικά με το πλήθος των καμπινών </w:t>
      </w:r>
      <w:r>
        <w:rPr>
          <w:rFonts w:ascii="Calibri" w:hAnsi="Calibri" w:cs="Calibri"/>
          <w:color w:val="1F4E79" w:themeColor="accent1" w:themeShade="80"/>
          <w:sz w:val="22"/>
          <w:szCs w:val="22"/>
          <w:lang w:val="en-US"/>
        </w:rPr>
        <w:t>FTTH</w:t>
      </w:r>
      <w:r>
        <w:rPr>
          <w:rFonts w:ascii="Calibri" w:hAnsi="Calibri" w:cs="Calibri"/>
          <w:color w:val="1F4E79" w:themeColor="accent1" w:themeShade="80"/>
          <w:sz w:val="22"/>
          <w:szCs w:val="22"/>
        </w:rPr>
        <w:t xml:space="preserve"> και την εφαρμογή της μεθόδου </w:t>
      </w:r>
      <w:r>
        <w:rPr>
          <w:rFonts w:ascii="Calibri" w:hAnsi="Calibri" w:cs="Calibri"/>
          <w:color w:val="1F4E79" w:themeColor="accent1" w:themeShade="80"/>
          <w:sz w:val="22"/>
          <w:szCs w:val="22"/>
          <w:lang w:val="en-US"/>
        </w:rPr>
        <w:t>scorched</w:t>
      </w:r>
      <w:r w:rsidRPr="00C219A0">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earth</w:t>
      </w:r>
      <w:r>
        <w:rPr>
          <w:rFonts w:ascii="Calibri" w:hAnsi="Calibri" w:cs="Calibri"/>
          <w:color w:val="1F4E79" w:themeColor="accent1" w:themeShade="80"/>
          <w:sz w:val="22"/>
          <w:szCs w:val="22"/>
        </w:rPr>
        <w:t xml:space="preserve">, η ΕΕΤΤ θα συμπεριλάβει </w:t>
      </w:r>
      <w:r w:rsidR="00A419DA" w:rsidRPr="009E5B32">
        <w:rPr>
          <w:rFonts w:ascii="Calibri" w:hAnsi="Calibri" w:cs="Calibri"/>
          <w:color w:val="1F4E79" w:themeColor="accent1" w:themeShade="80"/>
          <w:sz w:val="22"/>
          <w:szCs w:val="22"/>
          <w:highlight w:val="yellow"/>
        </w:rPr>
        <w:t>στο κείμενο τεκμηρίωσης του μοντέλου</w:t>
      </w:r>
      <w:r w:rsidR="00A419D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περισσότερες λεπτομέρειες με παραδείγματα για την σχετική μοντελοποίηση.</w:t>
      </w:r>
    </w:p>
    <w:p w14:paraId="5F135B1B" w14:textId="188305CE" w:rsidR="00C219A0" w:rsidRPr="00C219A0" w:rsidRDefault="00C219A0" w:rsidP="00C219A0">
      <w:pPr>
        <w:pStyle w:val="ab"/>
        <w:spacing w:before="75"/>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Τέλος, σχετικά </w:t>
      </w:r>
      <w:r w:rsidR="00423C59">
        <w:rPr>
          <w:rFonts w:ascii="Calibri" w:hAnsi="Calibri" w:cs="Calibri"/>
          <w:color w:val="1F4E79" w:themeColor="accent1" w:themeShade="80"/>
          <w:sz w:val="22"/>
          <w:szCs w:val="22"/>
        </w:rPr>
        <w:t xml:space="preserve">με </w:t>
      </w:r>
      <w:r>
        <w:rPr>
          <w:rFonts w:ascii="Calibri" w:hAnsi="Calibri" w:cs="Calibri"/>
          <w:color w:val="1F4E79" w:themeColor="accent1" w:themeShade="80"/>
          <w:sz w:val="22"/>
          <w:szCs w:val="22"/>
        </w:rPr>
        <w:t xml:space="preserve">το πλήθος των καμπινών </w:t>
      </w:r>
      <w:r>
        <w:rPr>
          <w:rFonts w:ascii="Calibri" w:hAnsi="Calibri" w:cs="Calibri"/>
          <w:color w:val="1F4E79" w:themeColor="accent1" w:themeShade="80"/>
          <w:sz w:val="22"/>
          <w:szCs w:val="22"/>
          <w:lang w:val="en-US"/>
        </w:rPr>
        <w:t>FTTC</w:t>
      </w:r>
      <w:r>
        <w:rPr>
          <w:rFonts w:ascii="Calibri" w:hAnsi="Calibri" w:cs="Calibri"/>
          <w:color w:val="1F4E79" w:themeColor="accent1" w:themeShade="80"/>
          <w:sz w:val="22"/>
          <w:szCs w:val="22"/>
        </w:rPr>
        <w:t xml:space="preserve">, η ΕΕΤΤ </w:t>
      </w:r>
      <w:r w:rsidR="00186E60">
        <w:rPr>
          <w:rFonts w:ascii="Calibri" w:hAnsi="Calibri" w:cs="Calibri"/>
          <w:color w:val="1F4E79" w:themeColor="accent1" w:themeShade="80"/>
          <w:sz w:val="22"/>
          <w:szCs w:val="22"/>
        </w:rPr>
        <w:t xml:space="preserve">θεωρεί εύλογη την παρατήρηση </w:t>
      </w:r>
      <w:r w:rsidR="00423C59">
        <w:rPr>
          <w:rFonts w:ascii="Calibri" w:hAnsi="Calibri" w:cs="Calibri"/>
          <w:color w:val="1F4E79" w:themeColor="accent1" w:themeShade="80"/>
          <w:sz w:val="22"/>
          <w:szCs w:val="22"/>
        </w:rPr>
        <w:t xml:space="preserve">ενός </w:t>
      </w:r>
      <w:r w:rsidR="00186E60">
        <w:rPr>
          <w:rFonts w:ascii="Calibri" w:hAnsi="Calibri" w:cs="Calibri"/>
          <w:color w:val="1F4E79" w:themeColor="accent1" w:themeShade="80"/>
          <w:sz w:val="22"/>
          <w:szCs w:val="22"/>
        </w:rPr>
        <w:t>συμμετέχοντα και επιβεβαιώνει ότι</w:t>
      </w:r>
      <w:r>
        <w:rPr>
          <w:rFonts w:ascii="Calibri" w:hAnsi="Calibri" w:cs="Calibri"/>
          <w:color w:val="1F4E79" w:themeColor="accent1" w:themeShade="80"/>
          <w:sz w:val="22"/>
          <w:szCs w:val="22"/>
        </w:rPr>
        <w:t xml:space="preserve"> </w:t>
      </w:r>
      <w:r w:rsidR="00186E60">
        <w:rPr>
          <w:rFonts w:ascii="Calibri" w:hAnsi="Calibri" w:cs="Calibri"/>
          <w:color w:val="1F4E79" w:themeColor="accent1" w:themeShade="80"/>
          <w:sz w:val="22"/>
          <w:szCs w:val="22"/>
        </w:rPr>
        <w:t>αφορά</w:t>
      </w:r>
      <w:r w:rsidRPr="00C219A0">
        <w:rPr>
          <w:rFonts w:ascii="Calibri" w:hAnsi="Calibri" w:cs="Calibri"/>
          <w:color w:val="1F4E79" w:themeColor="accent1" w:themeShade="80"/>
          <w:sz w:val="22"/>
          <w:szCs w:val="22"/>
        </w:rPr>
        <w:t xml:space="preserve"> </w:t>
      </w:r>
      <w:r w:rsidR="00FA7BA6">
        <w:rPr>
          <w:rFonts w:ascii="Calibri" w:hAnsi="Calibri" w:cs="Calibri"/>
          <w:color w:val="1F4E79" w:themeColor="accent1" w:themeShade="80"/>
          <w:sz w:val="22"/>
          <w:szCs w:val="22"/>
        </w:rPr>
        <w:t xml:space="preserve">αποκλειστικά </w:t>
      </w:r>
      <w:r w:rsidRPr="00C219A0">
        <w:rPr>
          <w:rFonts w:ascii="Calibri" w:hAnsi="Calibri" w:cs="Calibri"/>
          <w:color w:val="1F4E79" w:themeColor="accent1" w:themeShade="80"/>
          <w:sz w:val="22"/>
          <w:szCs w:val="22"/>
        </w:rPr>
        <w:t xml:space="preserve">το φύλλο </w:t>
      </w:r>
      <w:r>
        <w:rPr>
          <w:rFonts w:ascii="Calibri" w:hAnsi="Calibri" w:cs="Calibri"/>
          <w:color w:val="1F4E79" w:themeColor="accent1" w:themeShade="80"/>
          <w:sz w:val="22"/>
          <w:szCs w:val="22"/>
        </w:rPr>
        <w:t>«</w:t>
      </w:r>
      <w:proofErr w:type="spellStart"/>
      <w:r w:rsidRPr="00C219A0">
        <w:rPr>
          <w:rFonts w:ascii="Calibri" w:hAnsi="Calibri" w:cs="Calibri"/>
          <w:color w:val="1F4E79" w:themeColor="accent1" w:themeShade="80"/>
          <w:sz w:val="22"/>
          <w:szCs w:val="22"/>
        </w:rPr>
        <w:t>total</w:t>
      </w:r>
      <w:proofErr w:type="spellEnd"/>
      <w:r w:rsidRPr="00C219A0">
        <w:rPr>
          <w:rFonts w:ascii="Calibri" w:hAnsi="Calibri" w:cs="Calibri"/>
          <w:color w:val="1F4E79" w:themeColor="accent1" w:themeShade="80"/>
          <w:sz w:val="22"/>
          <w:szCs w:val="22"/>
        </w:rPr>
        <w:t xml:space="preserve"> </w:t>
      </w:r>
      <w:proofErr w:type="spellStart"/>
      <w:r w:rsidRPr="00C219A0">
        <w:rPr>
          <w:rFonts w:ascii="Calibri" w:hAnsi="Calibri" w:cs="Calibri"/>
          <w:color w:val="1F4E79" w:themeColor="accent1" w:themeShade="80"/>
          <w:sz w:val="22"/>
          <w:szCs w:val="22"/>
        </w:rPr>
        <w:t>network</w:t>
      </w:r>
      <w:proofErr w:type="spellEnd"/>
      <w:r>
        <w:rPr>
          <w:rFonts w:ascii="Calibri" w:hAnsi="Calibri" w:cs="Calibri"/>
          <w:color w:val="1F4E79" w:themeColor="accent1" w:themeShade="80"/>
          <w:sz w:val="22"/>
          <w:szCs w:val="22"/>
        </w:rPr>
        <w:t>»</w:t>
      </w:r>
      <w:r w:rsidR="00FA7BA6">
        <w:rPr>
          <w:rFonts w:ascii="Calibri" w:hAnsi="Calibri" w:cs="Calibri"/>
          <w:color w:val="1F4E79" w:themeColor="accent1" w:themeShade="80"/>
          <w:sz w:val="22"/>
          <w:szCs w:val="22"/>
        </w:rPr>
        <w:t>,</w:t>
      </w:r>
      <w:r w:rsidRPr="00C219A0">
        <w:rPr>
          <w:rFonts w:ascii="Calibri" w:hAnsi="Calibri" w:cs="Calibri"/>
          <w:color w:val="1F4E79" w:themeColor="accent1" w:themeShade="80"/>
          <w:sz w:val="22"/>
          <w:szCs w:val="22"/>
        </w:rPr>
        <w:t xml:space="preserve"> </w:t>
      </w:r>
      <w:r w:rsidR="00FA7BA6">
        <w:rPr>
          <w:rFonts w:ascii="Calibri" w:hAnsi="Calibri" w:cs="Calibri"/>
          <w:color w:val="1F4E79" w:themeColor="accent1" w:themeShade="80"/>
          <w:sz w:val="22"/>
          <w:szCs w:val="22"/>
        </w:rPr>
        <w:t xml:space="preserve">όπου </w:t>
      </w:r>
      <w:r w:rsidRPr="00C219A0">
        <w:rPr>
          <w:rFonts w:ascii="Calibri" w:hAnsi="Calibri" w:cs="Calibri"/>
          <w:color w:val="1F4E79" w:themeColor="accent1" w:themeShade="80"/>
          <w:sz w:val="22"/>
          <w:szCs w:val="22"/>
        </w:rPr>
        <w:t xml:space="preserve">υπολογίζονται </w:t>
      </w:r>
      <w:r w:rsidR="00721DA6">
        <w:rPr>
          <w:rFonts w:ascii="Calibri" w:hAnsi="Calibri" w:cs="Calibri"/>
          <w:color w:val="1F4E79" w:themeColor="accent1" w:themeShade="80"/>
          <w:sz w:val="22"/>
          <w:szCs w:val="22"/>
        </w:rPr>
        <w:t>επιπρόσθετες</w:t>
      </w:r>
      <w:r w:rsidRPr="00C219A0">
        <w:rPr>
          <w:rFonts w:ascii="Calibri" w:hAnsi="Calibri" w:cs="Calibri"/>
          <w:color w:val="1F4E79" w:themeColor="accent1" w:themeShade="80"/>
          <w:sz w:val="22"/>
          <w:szCs w:val="22"/>
        </w:rPr>
        <w:t xml:space="preserve"> καμπίνες χαλκού</w:t>
      </w:r>
      <w:r w:rsidR="00FA7BA6">
        <w:rPr>
          <w:rFonts w:ascii="Calibri" w:hAnsi="Calibri" w:cs="Calibri"/>
          <w:color w:val="1F4E79" w:themeColor="accent1" w:themeShade="80"/>
          <w:sz w:val="22"/>
          <w:szCs w:val="22"/>
        </w:rPr>
        <w:t xml:space="preserve">. </w:t>
      </w:r>
      <w:r w:rsidR="00FA7BA6" w:rsidRPr="00FA7BA6">
        <w:rPr>
          <w:rFonts w:ascii="Calibri" w:hAnsi="Calibri" w:cs="Calibri"/>
          <w:color w:val="1F4E79" w:themeColor="accent1" w:themeShade="80"/>
          <w:sz w:val="22"/>
          <w:szCs w:val="22"/>
        </w:rPr>
        <w:t xml:space="preserve">Επομένως, </w:t>
      </w:r>
      <w:r w:rsidR="00186E60" w:rsidRPr="00186E60">
        <w:rPr>
          <w:rFonts w:ascii="Calibri" w:hAnsi="Calibri" w:cs="Calibri"/>
          <w:color w:val="1F4E79" w:themeColor="accent1" w:themeShade="80"/>
          <w:sz w:val="22"/>
          <w:szCs w:val="22"/>
        </w:rPr>
        <w:t>η ΕΕΤΤ θα προχωρήσει στις εξής διορθώσει</w:t>
      </w:r>
      <w:r w:rsidR="00423C59">
        <w:rPr>
          <w:rFonts w:ascii="Calibri" w:hAnsi="Calibri" w:cs="Calibri"/>
          <w:color w:val="1F4E79" w:themeColor="accent1" w:themeShade="80"/>
          <w:sz w:val="22"/>
          <w:szCs w:val="22"/>
        </w:rPr>
        <w:t>ς</w:t>
      </w:r>
      <w:r w:rsidR="00186E60">
        <w:rPr>
          <w:rFonts w:ascii="Calibri" w:hAnsi="Calibri" w:cs="Calibri"/>
          <w:color w:val="1F4E79" w:themeColor="accent1" w:themeShade="80"/>
          <w:sz w:val="22"/>
          <w:szCs w:val="22"/>
        </w:rPr>
        <w:t>,</w:t>
      </w:r>
      <w:r w:rsidR="00FA7BA6">
        <w:rPr>
          <w:rFonts w:ascii="Calibri" w:hAnsi="Calibri" w:cs="Calibri"/>
          <w:color w:val="1F4E79" w:themeColor="accent1" w:themeShade="80"/>
          <w:sz w:val="22"/>
          <w:szCs w:val="22"/>
        </w:rPr>
        <w:t xml:space="preserve"> ώστε να ευθυγραμμίζεται η υλοποίηση με το κείμενο Αρχών</w:t>
      </w:r>
      <w:r w:rsidR="00FA7BA6" w:rsidRPr="00FA7BA6">
        <w:rPr>
          <w:rFonts w:ascii="Calibri" w:hAnsi="Calibri" w:cs="Calibri"/>
          <w:color w:val="1F4E79" w:themeColor="accent1" w:themeShade="80"/>
          <w:sz w:val="22"/>
          <w:szCs w:val="22"/>
        </w:rPr>
        <w:t>:</w:t>
      </w:r>
      <w:r w:rsidRPr="00C219A0">
        <w:rPr>
          <w:rFonts w:ascii="Calibri" w:hAnsi="Calibri" w:cs="Calibri"/>
          <w:color w:val="1F4E79" w:themeColor="accent1" w:themeShade="80"/>
          <w:sz w:val="22"/>
          <w:szCs w:val="22"/>
        </w:rPr>
        <w:t xml:space="preserve"> </w:t>
      </w:r>
    </w:p>
    <w:p w14:paraId="37B9194D" w14:textId="77777777" w:rsidR="00186E60" w:rsidRPr="00186E60" w:rsidRDefault="00186E60" w:rsidP="00186E60">
      <w:pPr>
        <w:pStyle w:val="ab"/>
        <w:spacing w:before="75"/>
        <w:rPr>
          <w:rFonts w:ascii="Calibri" w:hAnsi="Calibri" w:cs="Calibri"/>
          <w:color w:val="1F4E79" w:themeColor="accent1" w:themeShade="80"/>
          <w:sz w:val="22"/>
          <w:szCs w:val="22"/>
        </w:rPr>
      </w:pPr>
      <w:r w:rsidRPr="00186E60">
        <w:rPr>
          <w:rFonts w:ascii="Calibri" w:hAnsi="Calibri" w:cs="Calibri"/>
          <w:color w:val="1F4E79" w:themeColor="accent1" w:themeShade="80"/>
          <w:sz w:val="22"/>
          <w:szCs w:val="22"/>
        </w:rPr>
        <w:lastRenderedPageBreak/>
        <w:t>οι εξισώσεις στα κελιά Total_Network!G54:T54 θα τροποποιηθούν από</w:t>
      </w:r>
    </w:p>
    <w:p w14:paraId="530C76B6" w14:textId="77777777" w:rsidR="00186E60" w:rsidRPr="00186E60" w:rsidRDefault="00186E60" w:rsidP="00186E60">
      <w:pPr>
        <w:pStyle w:val="ab"/>
        <w:spacing w:before="75"/>
        <w:rPr>
          <w:rFonts w:ascii="Calibri" w:hAnsi="Calibri" w:cs="Calibri"/>
          <w:color w:val="1F4E79" w:themeColor="accent1" w:themeShade="80"/>
          <w:sz w:val="22"/>
          <w:szCs w:val="22"/>
          <w:lang w:val="en-GB"/>
        </w:rPr>
      </w:pPr>
      <w:r w:rsidRPr="00186E60">
        <w:rPr>
          <w:rFonts w:ascii="Calibri" w:hAnsi="Calibri" w:cs="Calibri"/>
          <w:color w:val="1F4E79" w:themeColor="accent1" w:themeShade="80"/>
          <w:sz w:val="22"/>
          <w:szCs w:val="22"/>
          <w:lang w:val="en-GB"/>
        </w:rPr>
        <w:t>=</w:t>
      </w:r>
      <w:proofErr w:type="gramStart"/>
      <w:r w:rsidRPr="00186E60">
        <w:rPr>
          <w:rFonts w:ascii="Calibri" w:hAnsi="Calibri" w:cs="Calibri"/>
          <w:color w:val="1F4E79" w:themeColor="accent1" w:themeShade="80"/>
          <w:sz w:val="22"/>
          <w:szCs w:val="22"/>
          <w:lang w:val="en-GB"/>
        </w:rPr>
        <w:t>IF(</w:t>
      </w:r>
      <w:proofErr w:type="gramEnd"/>
      <w:r w:rsidRPr="00186E60">
        <w:rPr>
          <w:rFonts w:ascii="Calibri" w:hAnsi="Calibri" w:cs="Calibri"/>
          <w:color w:val="1F4E79" w:themeColor="accent1" w:themeShade="80"/>
          <w:sz w:val="22"/>
          <w:szCs w:val="22"/>
          <w:lang w:val="en-GB"/>
        </w:rPr>
        <w:t>Scenario="NGA";0; SUM(</w:t>
      </w:r>
      <w:proofErr w:type="spellStart"/>
      <w:r w:rsidRPr="00186E60">
        <w:rPr>
          <w:rFonts w:ascii="Calibri" w:hAnsi="Calibri" w:cs="Calibri"/>
          <w:color w:val="1F4E79" w:themeColor="accent1" w:themeShade="80"/>
          <w:sz w:val="22"/>
          <w:szCs w:val="22"/>
          <w:lang w:val="en-GB"/>
        </w:rPr>
        <w:t>CO_Cab_Sum</w:t>
      </w:r>
      <w:proofErr w:type="spellEnd"/>
      <w:r w:rsidRPr="00186E60">
        <w:rPr>
          <w:rFonts w:ascii="Calibri" w:hAnsi="Calibri" w:cs="Calibri"/>
          <w:color w:val="1F4E79" w:themeColor="accent1" w:themeShade="80"/>
          <w:sz w:val="22"/>
          <w:szCs w:val="22"/>
          <w:lang w:val="en-GB"/>
        </w:rPr>
        <w:t>))</w:t>
      </w:r>
    </w:p>
    <w:p w14:paraId="203318DC" w14:textId="77777777" w:rsidR="00186E60" w:rsidRPr="00186E60" w:rsidRDefault="00186E60" w:rsidP="00186E60">
      <w:pPr>
        <w:pStyle w:val="ab"/>
        <w:spacing w:before="75"/>
        <w:rPr>
          <w:rFonts w:ascii="Calibri" w:hAnsi="Calibri" w:cs="Calibri"/>
          <w:color w:val="1F4E79" w:themeColor="accent1" w:themeShade="80"/>
          <w:sz w:val="22"/>
          <w:szCs w:val="22"/>
          <w:lang w:val="en-GB"/>
        </w:rPr>
      </w:pPr>
      <w:r w:rsidRPr="00186E60">
        <w:rPr>
          <w:rFonts w:ascii="Calibri" w:hAnsi="Calibri" w:cs="Calibri"/>
          <w:color w:val="1F4E79" w:themeColor="accent1" w:themeShade="80"/>
          <w:sz w:val="22"/>
          <w:szCs w:val="22"/>
        </w:rPr>
        <w:t>σε</w:t>
      </w:r>
    </w:p>
    <w:p w14:paraId="634D633F" w14:textId="77777777" w:rsidR="00186E60" w:rsidRPr="00186E60" w:rsidRDefault="00186E60" w:rsidP="00186E60">
      <w:pPr>
        <w:pStyle w:val="ab"/>
        <w:spacing w:before="75"/>
        <w:rPr>
          <w:rFonts w:ascii="Calibri" w:hAnsi="Calibri" w:cs="Calibri"/>
          <w:color w:val="1F4E79" w:themeColor="accent1" w:themeShade="80"/>
          <w:sz w:val="22"/>
          <w:szCs w:val="22"/>
          <w:lang w:val="en-GB"/>
        </w:rPr>
      </w:pPr>
      <w:r w:rsidRPr="00186E60">
        <w:rPr>
          <w:rFonts w:ascii="Calibri" w:hAnsi="Calibri" w:cs="Calibri"/>
          <w:color w:val="1F4E79" w:themeColor="accent1" w:themeShade="80"/>
          <w:sz w:val="22"/>
          <w:szCs w:val="22"/>
          <w:lang w:val="en-GB"/>
        </w:rPr>
        <w:t>=</w:t>
      </w:r>
      <w:proofErr w:type="gramStart"/>
      <w:r w:rsidRPr="00186E60">
        <w:rPr>
          <w:rFonts w:ascii="Calibri" w:hAnsi="Calibri" w:cs="Calibri"/>
          <w:color w:val="1F4E79" w:themeColor="accent1" w:themeShade="80"/>
          <w:sz w:val="22"/>
          <w:szCs w:val="22"/>
          <w:lang w:val="en-GB"/>
        </w:rPr>
        <w:t>IF(</w:t>
      </w:r>
      <w:proofErr w:type="gramEnd"/>
      <w:r w:rsidRPr="00186E60">
        <w:rPr>
          <w:rFonts w:ascii="Calibri" w:hAnsi="Calibri" w:cs="Calibri"/>
          <w:color w:val="1F4E79" w:themeColor="accent1" w:themeShade="80"/>
          <w:sz w:val="22"/>
          <w:szCs w:val="22"/>
          <w:lang w:val="en-GB"/>
        </w:rPr>
        <w:t>Scenario="NGA";0; SUM(</w:t>
      </w:r>
      <w:proofErr w:type="spellStart"/>
      <w:r w:rsidRPr="00186E60">
        <w:rPr>
          <w:rFonts w:ascii="Calibri" w:hAnsi="Calibri" w:cs="Calibri"/>
          <w:color w:val="1F4E79" w:themeColor="accent1" w:themeShade="80"/>
          <w:sz w:val="22"/>
          <w:szCs w:val="22"/>
          <w:lang w:val="en-GB"/>
        </w:rPr>
        <w:t>CO_Cab_Sum</w:t>
      </w:r>
      <w:proofErr w:type="spellEnd"/>
      <w:r w:rsidRPr="00186E60">
        <w:rPr>
          <w:rFonts w:ascii="Calibri" w:hAnsi="Calibri" w:cs="Calibri"/>
          <w:color w:val="1F4E79" w:themeColor="accent1" w:themeShade="80"/>
          <w:sz w:val="22"/>
          <w:szCs w:val="22"/>
          <w:lang w:val="en-GB"/>
        </w:rPr>
        <w:t>)-SUM(</w:t>
      </w:r>
      <w:proofErr w:type="spellStart"/>
      <w:r w:rsidRPr="00186E60">
        <w:rPr>
          <w:rFonts w:ascii="Calibri" w:hAnsi="Calibri" w:cs="Calibri"/>
          <w:color w:val="1F4E79" w:themeColor="accent1" w:themeShade="80"/>
          <w:sz w:val="22"/>
          <w:szCs w:val="22"/>
          <w:lang w:val="en-GB"/>
        </w:rPr>
        <w:t>CO_VDSL_Cabs;CO_FTTC_Inner_Cabs</w:t>
      </w:r>
      <w:proofErr w:type="spellEnd"/>
      <w:r w:rsidRPr="00186E60">
        <w:rPr>
          <w:rFonts w:ascii="Calibri" w:hAnsi="Calibri" w:cs="Calibri"/>
          <w:color w:val="1F4E79" w:themeColor="accent1" w:themeShade="80"/>
          <w:sz w:val="22"/>
          <w:szCs w:val="22"/>
          <w:lang w:val="en-GB"/>
        </w:rPr>
        <w:t>))</w:t>
      </w:r>
    </w:p>
    <w:p w14:paraId="2AE551FD" w14:textId="75827CB6" w:rsidR="00186E60" w:rsidRPr="00186E60" w:rsidRDefault="00186E60" w:rsidP="00186E60">
      <w:pPr>
        <w:pStyle w:val="ab"/>
        <w:spacing w:before="75"/>
        <w:rPr>
          <w:rFonts w:ascii="Calibri" w:hAnsi="Calibri" w:cs="Calibri"/>
          <w:color w:val="1F4E79" w:themeColor="accent1" w:themeShade="80"/>
          <w:sz w:val="22"/>
          <w:szCs w:val="22"/>
        </w:rPr>
      </w:pPr>
      <w:r w:rsidRPr="00186E60">
        <w:rPr>
          <w:rFonts w:ascii="Calibri" w:hAnsi="Calibri" w:cs="Calibri"/>
          <w:color w:val="1F4E79" w:themeColor="accent1" w:themeShade="80"/>
          <w:sz w:val="22"/>
          <w:szCs w:val="22"/>
        </w:rPr>
        <w:t>Επιπλέον, τα αντίστοιχ</w:t>
      </w:r>
      <w:r w:rsidR="00423C59">
        <w:rPr>
          <w:rFonts w:ascii="Calibri" w:hAnsi="Calibri" w:cs="Calibri"/>
          <w:color w:val="1F4E79" w:themeColor="accent1" w:themeShade="80"/>
          <w:sz w:val="22"/>
          <w:szCs w:val="22"/>
        </w:rPr>
        <w:t>α</w:t>
      </w:r>
      <w:r w:rsidRPr="00186E60">
        <w:rPr>
          <w:rFonts w:ascii="Calibri" w:hAnsi="Calibri" w:cs="Calibri"/>
          <w:color w:val="1F4E79" w:themeColor="accent1" w:themeShade="80"/>
          <w:sz w:val="22"/>
          <w:szCs w:val="22"/>
        </w:rPr>
        <w:t xml:space="preserve"> Routing Factors στις γραμμές 54 έως 56 θα τροποποιηθούν, ώστε το κόστος των καμπινών χαλκού να επιμερίζεται μόνο στις υπηρεσίες χαλκού (SLU-</w:t>
      </w:r>
      <w:proofErr w:type="spellStart"/>
      <w:r w:rsidRPr="00186E60">
        <w:rPr>
          <w:rFonts w:ascii="Calibri" w:hAnsi="Calibri" w:cs="Calibri"/>
          <w:color w:val="1F4E79" w:themeColor="accent1" w:themeShade="80"/>
          <w:sz w:val="22"/>
          <w:szCs w:val="22"/>
        </w:rPr>
        <w:t>copper</w:t>
      </w:r>
      <w:proofErr w:type="spellEnd"/>
      <w:r w:rsidRPr="00186E60">
        <w:rPr>
          <w:rFonts w:ascii="Calibri" w:hAnsi="Calibri" w:cs="Calibri"/>
          <w:color w:val="1F4E79" w:themeColor="accent1" w:themeShade="80"/>
          <w:sz w:val="22"/>
          <w:szCs w:val="22"/>
        </w:rPr>
        <w:t xml:space="preserve"> και LLU).</w:t>
      </w:r>
    </w:p>
    <w:p w14:paraId="56EFFC7F" w14:textId="5CE68FFE" w:rsidR="008B1A3E" w:rsidRDefault="00186E60" w:rsidP="00186E60">
      <w:pPr>
        <w:pStyle w:val="ab"/>
        <w:spacing w:before="75"/>
        <w:rPr>
          <w:rFonts w:ascii="Calibri" w:hAnsi="Calibri" w:cs="Calibri"/>
          <w:sz w:val="22"/>
          <w:szCs w:val="22"/>
        </w:rPr>
      </w:pPr>
      <w:r w:rsidRPr="00186E60">
        <w:rPr>
          <w:rFonts w:ascii="Calibri" w:hAnsi="Calibri" w:cs="Calibri"/>
          <w:color w:val="1F4E79" w:themeColor="accent1" w:themeShade="80"/>
          <w:sz w:val="22"/>
          <w:szCs w:val="22"/>
        </w:rPr>
        <w:t>Επισημαίνεται ότι δεν έχει επηρεαστεί η διαστασιοποίηση του δικτύου (στο GIS)</w:t>
      </w:r>
      <w:r>
        <w:rPr>
          <w:rFonts w:ascii="Calibri" w:hAnsi="Calibri" w:cs="Calibri"/>
          <w:color w:val="1F4E79" w:themeColor="accent1" w:themeShade="80"/>
          <w:sz w:val="22"/>
          <w:szCs w:val="22"/>
        </w:rPr>
        <w:t>,</w:t>
      </w:r>
      <w:r w:rsidRPr="00186E60">
        <w:rPr>
          <w:rFonts w:ascii="Calibri" w:hAnsi="Calibri" w:cs="Calibri"/>
          <w:color w:val="1F4E79" w:themeColor="accent1" w:themeShade="80"/>
          <w:sz w:val="22"/>
          <w:szCs w:val="22"/>
        </w:rPr>
        <w:t xml:space="preserve"> πάρα μόνο τα κελιά του </w:t>
      </w:r>
      <w:r>
        <w:rPr>
          <w:rFonts w:ascii="Calibri" w:hAnsi="Calibri" w:cs="Calibri"/>
          <w:color w:val="1F4E79" w:themeColor="accent1" w:themeShade="80"/>
          <w:sz w:val="22"/>
          <w:szCs w:val="22"/>
        </w:rPr>
        <w:t>μοντέλου</w:t>
      </w:r>
      <w:r w:rsidRPr="00186E60">
        <w:rPr>
          <w:rFonts w:ascii="Calibri" w:hAnsi="Calibri" w:cs="Calibri"/>
          <w:color w:val="1F4E79" w:themeColor="accent1" w:themeShade="80"/>
          <w:sz w:val="22"/>
          <w:szCs w:val="22"/>
        </w:rPr>
        <w:t xml:space="preserve"> που θα τροποποιηθούν</w:t>
      </w:r>
      <w:r>
        <w:rPr>
          <w:rFonts w:ascii="Calibri" w:hAnsi="Calibri" w:cs="Calibri"/>
          <w:color w:val="1F4E79" w:themeColor="accent1" w:themeShade="80"/>
          <w:sz w:val="22"/>
          <w:szCs w:val="22"/>
        </w:rPr>
        <w:t>.</w:t>
      </w:r>
    </w:p>
    <w:p w14:paraId="289C93D8" w14:textId="77777777" w:rsidR="008B1A3E" w:rsidRPr="00063071" w:rsidRDefault="008B1A3E" w:rsidP="004014AE">
      <w:pPr>
        <w:pStyle w:val="ab"/>
        <w:spacing w:before="75"/>
        <w:jc w:val="left"/>
        <w:rPr>
          <w:rFonts w:ascii="Calibri" w:hAnsi="Calibri" w:cs="Calibri"/>
          <w:sz w:val="22"/>
          <w:szCs w:val="22"/>
        </w:rPr>
      </w:pPr>
    </w:p>
    <w:p w14:paraId="072ED04F" w14:textId="1B5BBF5A" w:rsidR="004014AE" w:rsidRPr="00B77652" w:rsidRDefault="004014AE" w:rsidP="00392B3A">
      <w:pPr>
        <w:pStyle w:val="2"/>
        <w:keepNext w:val="0"/>
        <w:widowControl w:val="0"/>
        <w:numPr>
          <w:ilvl w:val="1"/>
          <w:numId w:val="6"/>
        </w:numPr>
        <w:tabs>
          <w:tab w:val="left" w:pos="722"/>
        </w:tabs>
        <w:autoSpaceDE w:val="0"/>
        <w:autoSpaceDN w:val="0"/>
        <w:spacing w:line="240" w:lineRule="auto"/>
        <w:jc w:val="both"/>
        <w:rPr>
          <w:rFonts w:ascii="Calibri" w:hAnsi="Calibri" w:cs="Calibri"/>
          <w:b w:val="0"/>
          <w:color w:val="2E5395"/>
          <w:sz w:val="22"/>
          <w:szCs w:val="22"/>
        </w:rPr>
      </w:pPr>
      <w:r w:rsidRPr="00063071">
        <w:rPr>
          <w:rFonts w:ascii="Calibri" w:hAnsi="Calibri" w:cs="Calibri"/>
          <w:b w:val="0"/>
          <w:color w:val="2E5395"/>
          <w:sz w:val="22"/>
          <w:szCs w:val="22"/>
        </w:rPr>
        <w:t>Τεχνολογία</w:t>
      </w:r>
      <w:r w:rsidRPr="00B77652">
        <w:rPr>
          <w:rFonts w:ascii="Calibri" w:hAnsi="Calibri" w:cs="Calibri"/>
          <w:b w:val="0"/>
          <w:color w:val="2E5395"/>
          <w:sz w:val="22"/>
          <w:szCs w:val="22"/>
        </w:rPr>
        <w:t xml:space="preserve"> Δικτύου</w:t>
      </w:r>
    </w:p>
    <w:p w14:paraId="29FA1A7A" w14:textId="0614C092" w:rsidR="004014AE" w:rsidRDefault="004014AE"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Δύο συμμετέχοντες </w:t>
      </w:r>
      <w:r w:rsidR="002F0007" w:rsidRPr="003C28FC">
        <w:rPr>
          <w:rFonts w:ascii="Calibri" w:hAnsi="Calibri" w:cs="Calibri"/>
          <w:sz w:val="22"/>
          <w:szCs w:val="22"/>
        </w:rPr>
        <w:t>(----)</w:t>
      </w:r>
      <w:r w:rsidRPr="00161C65">
        <w:rPr>
          <w:rFonts w:ascii="Calibri" w:hAnsi="Calibri" w:cs="Calibri"/>
          <w:sz w:val="22"/>
          <w:szCs w:val="22"/>
        </w:rPr>
        <w:t xml:space="preserve"> </w:t>
      </w:r>
      <w:r>
        <w:rPr>
          <w:rFonts w:ascii="Calibri" w:hAnsi="Calibri" w:cs="Calibri"/>
          <w:sz w:val="22"/>
          <w:szCs w:val="22"/>
        </w:rPr>
        <w:t>διαφωνούν με τ</w:t>
      </w:r>
      <w:r w:rsidRPr="00063071">
        <w:rPr>
          <w:rFonts w:ascii="Calibri" w:hAnsi="Calibri" w:cs="Calibri"/>
          <w:sz w:val="22"/>
          <w:szCs w:val="22"/>
        </w:rPr>
        <w:t xml:space="preserve">ο </w:t>
      </w:r>
      <w:proofErr w:type="spellStart"/>
      <w:r w:rsidRPr="00063071">
        <w:rPr>
          <w:rFonts w:ascii="Calibri" w:hAnsi="Calibri" w:cs="Calibri"/>
          <w:sz w:val="22"/>
          <w:szCs w:val="22"/>
        </w:rPr>
        <w:t>splitting</w:t>
      </w:r>
      <w:proofErr w:type="spellEnd"/>
      <w:r w:rsidRPr="00063071">
        <w:rPr>
          <w:rFonts w:ascii="Calibri" w:hAnsi="Calibri" w:cs="Calibri"/>
          <w:sz w:val="22"/>
          <w:szCs w:val="22"/>
        </w:rPr>
        <w:t xml:space="preserve"> </w:t>
      </w:r>
      <w:proofErr w:type="spellStart"/>
      <w:r w:rsidRPr="00063071">
        <w:rPr>
          <w:rFonts w:ascii="Calibri" w:hAnsi="Calibri" w:cs="Calibri"/>
          <w:sz w:val="22"/>
          <w:szCs w:val="22"/>
        </w:rPr>
        <w:t>ratio</w:t>
      </w:r>
      <w:proofErr w:type="spellEnd"/>
      <w:r w:rsidRPr="00063071">
        <w:rPr>
          <w:rFonts w:ascii="Calibri" w:hAnsi="Calibri" w:cs="Calibri"/>
          <w:sz w:val="22"/>
          <w:szCs w:val="22"/>
        </w:rPr>
        <w:t xml:space="preserve"> 1</w:t>
      </w:r>
      <w:r w:rsidR="00FB6755" w:rsidRPr="00FB6755">
        <w:rPr>
          <w:rFonts w:ascii="Calibri" w:hAnsi="Calibri" w:cs="Calibri"/>
          <w:sz w:val="22"/>
          <w:szCs w:val="22"/>
        </w:rPr>
        <w:t>:</w:t>
      </w:r>
      <w:r w:rsidRPr="00063071">
        <w:rPr>
          <w:rFonts w:ascii="Calibri" w:hAnsi="Calibri" w:cs="Calibri"/>
          <w:sz w:val="22"/>
          <w:szCs w:val="22"/>
        </w:rPr>
        <w:t>64</w:t>
      </w:r>
      <w:r>
        <w:rPr>
          <w:rFonts w:ascii="Calibri" w:hAnsi="Calibri" w:cs="Calibri"/>
          <w:sz w:val="22"/>
          <w:szCs w:val="22"/>
        </w:rPr>
        <w:t xml:space="preserve">, το οποίο δεν μπορεί να ισχύει και για τις </w:t>
      </w:r>
      <w:r w:rsidRPr="00063071">
        <w:rPr>
          <w:rFonts w:ascii="Calibri" w:hAnsi="Calibri" w:cs="Calibri"/>
          <w:sz w:val="22"/>
          <w:szCs w:val="22"/>
        </w:rPr>
        <w:t xml:space="preserve">υπηρεσίες με ταχύτητες που είναι ψηλότερες από 1Gbps. </w:t>
      </w:r>
    </w:p>
    <w:p w14:paraId="7AD68180" w14:textId="41307BDD" w:rsidR="004014AE" w:rsidRDefault="004014AE"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Ένας πάροχος </w:t>
      </w:r>
      <w:r w:rsidR="003C28FC">
        <w:rPr>
          <w:rFonts w:ascii="Calibri" w:hAnsi="Calibri" w:cs="Calibri"/>
          <w:sz w:val="22"/>
          <w:szCs w:val="22"/>
        </w:rPr>
        <w:t>(----)</w:t>
      </w:r>
      <w:r>
        <w:rPr>
          <w:rFonts w:ascii="Calibri" w:hAnsi="Calibri" w:cs="Calibri"/>
          <w:sz w:val="22"/>
          <w:szCs w:val="22"/>
        </w:rPr>
        <w:t xml:space="preserve"> προτείνει για τις μονοκατοικίες </w:t>
      </w:r>
      <w:proofErr w:type="spellStart"/>
      <w:r w:rsidRPr="004014AE">
        <w:rPr>
          <w:rFonts w:ascii="Calibri" w:hAnsi="Calibri" w:cs="Calibri"/>
          <w:sz w:val="22"/>
          <w:szCs w:val="22"/>
        </w:rPr>
        <w:t>splitting</w:t>
      </w:r>
      <w:proofErr w:type="spellEnd"/>
      <w:r w:rsidRPr="00D57C0D">
        <w:rPr>
          <w:rFonts w:ascii="Calibri" w:hAnsi="Calibri" w:cs="Calibri"/>
          <w:sz w:val="22"/>
          <w:szCs w:val="22"/>
        </w:rPr>
        <w:t xml:space="preserve"> </w:t>
      </w:r>
      <w:proofErr w:type="spellStart"/>
      <w:r w:rsidRPr="004014AE">
        <w:rPr>
          <w:rFonts w:ascii="Calibri" w:hAnsi="Calibri" w:cs="Calibri"/>
          <w:sz w:val="22"/>
          <w:szCs w:val="22"/>
        </w:rPr>
        <w:t>ratio</w:t>
      </w:r>
      <w:proofErr w:type="spellEnd"/>
      <w:r w:rsidRPr="00D57C0D">
        <w:rPr>
          <w:rFonts w:ascii="Calibri" w:hAnsi="Calibri" w:cs="Calibri"/>
          <w:sz w:val="22"/>
          <w:szCs w:val="22"/>
        </w:rPr>
        <w:t xml:space="preserve"> 1:8, </w:t>
      </w:r>
      <w:r>
        <w:rPr>
          <w:rFonts w:ascii="Calibri" w:hAnsi="Calibri" w:cs="Calibri"/>
          <w:sz w:val="22"/>
          <w:szCs w:val="22"/>
        </w:rPr>
        <w:t xml:space="preserve">ενώ για ταχύτητες άνω των </w:t>
      </w:r>
      <w:r w:rsidRPr="00D47AE9">
        <w:rPr>
          <w:rFonts w:ascii="Calibri" w:hAnsi="Calibri" w:cs="Calibri"/>
          <w:sz w:val="22"/>
          <w:szCs w:val="22"/>
        </w:rPr>
        <w:t xml:space="preserve">3 Gbps ή σε </w:t>
      </w:r>
      <w:proofErr w:type="spellStart"/>
      <w:r w:rsidRPr="00D47AE9">
        <w:rPr>
          <w:rFonts w:ascii="Calibri" w:hAnsi="Calibri" w:cs="Calibri"/>
          <w:sz w:val="22"/>
          <w:szCs w:val="22"/>
        </w:rPr>
        <w:t>forward-looking</w:t>
      </w:r>
      <w:proofErr w:type="spellEnd"/>
      <w:r w:rsidRPr="00D47AE9">
        <w:rPr>
          <w:rFonts w:ascii="Calibri" w:hAnsi="Calibri" w:cs="Calibri"/>
          <w:sz w:val="22"/>
          <w:szCs w:val="22"/>
        </w:rPr>
        <w:t xml:space="preserve"> σχεδιασμούς 10G-PON</w:t>
      </w:r>
      <w:r>
        <w:rPr>
          <w:rFonts w:ascii="Calibri" w:hAnsi="Calibri" w:cs="Calibri"/>
          <w:sz w:val="22"/>
          <w:szCs w:val="22"/>
        </w:rPr>
        <w:t xml:space="preserve"> προτείνεται </w:t>
      </w:r>
      <w:proofErr w:type="spellStart"/>
      <w:r w:rsidRPr="004014AE">
        <w:rPr>
          <w:rFonts w:ascii="Calibri" w:hAnsi="Calibri" w:cs="Calibri"/>
          <w:sz w:val="22"/>
          <w:szCs w:val="22"/>
        </w:rPr>
        <w:t>splitting</w:t>
      </w:r>
      <w:proofErr w:type="spellEnd"/>
      <w:r w:rsidRPr="00D57C0D">
        <w:rPr>
          <w:rFonts w:ascii="Calibri" w:hAnsi="Calibri" w:cs="Calibri"/>
          <w:sz w:val="22"/>
          <w:szCs w:val="22"/>
        </w:rPr>
        <w:t xml:space="preserve"> </w:t>
      </w:r>
      <w:proofErr w:type="spellStart"/>
      <w:r w:rsidRPr="004014AE">
        <w:rPr>
          <w:rFonts w:ascii="Calibri" w:hAnsi="Calibri" w:cs="Calibri"/>
          <w:sz w:val="22"/>
          <w:szCs w:val="22"/>
        </w:rPr>
        <w:t>ratio</w:t>
      </w:r>
      <w:proofErr w:type="spellEnd"/>
      <w:r w:rsidRPr="00D57C0D">
        <w:rPr>
          <w:rFonts w:ascii="Calibri" w:hAnsi="Calibri" w:cs="Calibri"/>
          <w:sz w:val="22"/>
          <w:szCs w:val="22"/>
        </w:rPr>
        <w:t xml:space="preserve"> 1:</w:t>
      </w:r>
      <w:r>
        <w:rPr>
          <w:rFonts w:ascii="Calibri" w:hAnsi="Calibri" w:cs="Calibri"/>
          <w:sz w:val="22"/>
          <w:szCs w:val="22"/>
        </w:rPr>
        <w:t xml:space="preserve">16 </w:t>
      </w:r>
      <w:r w:rsidRPr="00D57C0D">
        <w:rPr>
          <w:rFonts w:ascii="Calibri" w:hAnsi="Calibri" w:cs="Calibri"/>
          <w:sz w:val="22"/>
          <w:szCs w:val="22"/>
        </w:rPr>
        <w:t xml:space="preserve">ώστε να αποφεύγεται τοπικό </w:t>
      </w:r>
      <w:proofErr w:type="spellStart"/>
      <w:r w:rsidRPr="004014AE">
        <w:rPr>
          <w:rFonts w:ascii="Calibri" w:hAnsi="Calibri" w:cs="Calibri"/>
          <w:sz w:val="22"/>
          <w:szCs w:val="22"/>
        </w:rPr>
        <w:t>congestion</w:t>
      </w:r>
      <w:proofErr w:type="spellEnd"/>
      <w:r w:rsidRPr="00D57C0D">
        <w:rPr>
          <w:rFonts w:ascii="Calibri" w:hAnsi="Calibri" w:cs="Calibri"/>
          <w:sz w:val="22"/>
          <w:szCs w:val="22"/>
        </w:rPr>
        <w:t xml:space="preserve"> στην ταχύτητα εξυπηρέτησης κατά το </w:t>
      </w:r>
      <w:proofErr w:type="spellStart"/>
      <w:r w:rsidRPr="00D57C0D">
        <w:rPr>
          <w:rFonts w:ascii="Calibri" w:hAnsi="Calibri" w:cs="Calibri"/>
          <w:sz w:val="22"/>
          <w:szCs w:val="22"/>
        </w:rPr>
        <w:t>busy</w:t>
      </w:r>
      <w:proofErr w:type="spellEnd"/>
      <w:r w:rsidRPr="00D57C0D">
        <w:rPr>
          <w:rFonts w:ascii="Calibri" w:hAnsi="Calibri" w:cs="Calibri"/>
          <w:sz w:val="22"/>
          <w:szCs w:val="22"/>
        </w:rPr>
        <w:t xml:space="preserve"> </w:t>
      </w:r>
      <w:proofErr w:type="spellStart"/>
      <w:r w:rsidRPr="00D57C0D">
        <w:rPr>
          <w:rFonts w:ascii="Calibri" w:hAnsi="Calibri" w:cs="Calibri"/>
          <w:sz w:val="22"/>
          <w:szCs w:val="22"/>
        </w:rPr>
        <w:t>hour</w:t>
      </w:r>
      <w:proofErr w:type="spellEnd"/>
      <w:r w:rsidRPr="00D57C0D">
        <w:rPr>
          <w:rFonts w:ascii="Calibri" w:hAnsi="Calibri" w:cs="Calibri"/>
          <w:sz w:val="22"/>
          <w:szCs w:val="22"/>
        </w:rPr>
        <w:t xml:space="preserve">. </w:t>
      </w:r>
      <w:r>
        <w:rPr>
          <w:rFonts w:ascii="Calibri" w:hAnsi="Calibri" w:cs="Calibri"/>
          <w:sz w:val="22"/>
          <w:szCs w:val="22"/>
        </w:rPr>
        <w:t>Επίσης, η υιοθέτηση</w:t>
      </w:r>
      <w:r w:rsidRPr="00DC212E">
        <w:rPr>
          <w:rFonts w:ascii="Calibri" w:hAnsi="Calibri" w:cs="Calibri"/>
          <w:sz w:val="22"/>
          <w:szCs w:val="22"/>
        </w:rPr>
        <w:t xml:space="preserve"> </w:t>
      </w:r>
      <w:proofErr w:type="spellStart"/>
      <w:r w:rsidRPr="00DC212E">
        <w:rPr>
          <w:rFonts w:ascii="Calibri" w:hAnsi="Calibri" w:cs="Calibri"/>
          <w:sz w:val="22"/>
          <w:szCs w:val="22"/>
        </w:rPr>
        <w:t>routing</w:t>
      </w:r>
      <w:proofErr w:type="spellEnd"/>
      <w:r w:rsidRPr="00DC212E">
        <w:rPr>
          <w:rFonts w:ascii="Calibri" w:hAnsi="Calibri" w:cs="Calibri"/>
          <w:sz w:val="22"/>
          <w:szCs w:val="22"/>
        </w:rPr>
        <w:t xml:space="preserve"> </w:t>
      </w:r>
      <w:proofErr w:type="spellStart"/>
      <w:r w:rsidRPr="00DC212E">
        <w:rPr>
          <w:rFonts w:ascii="Calibri" w:hAnsi="Calibri" w:cs="Calibri"/>
          <w:sz w:val="22"/>
          <w:szCs w:val="22"/>
        </w:rPr>
        <w:t>factor</w:t>
      </w:r>
      <w:proofErr w:type="spellEnd"/>
      <w:r w:rsidRPr="00DC212E">
        <w:rPr>
          <w:rFonts w:ascii="Calibri" w:hAnsi="Calibri" w:cs="Calibri"/>
          <w:sz w:val="22"/>
          <w:szCs w:val="22"/>
        </w:rPr>
        <w:t xml:space="preserve"> 2 για τις υπηρεσίες 1Gbps και 3Gbps δεν οδηγεί σε σωστά αποτελέσματα καθώς δεν έχει προβλεφθεί ως μέρος του κόστους </w:t>
      </w:r>
      <w:r>
        <w:rPr>
          <w:rFonts w:ascii="Calibri" w:hAnsi="Calibri" w:cs="Calibri"/>
          <w:sz w:val="22"/>
          <w:szCs w:val="22"/>
        </w:rPr>
        <w:t xml:space="preserve">ανάλογος </w:t>
      </w:r>
      <w:r w:rsidRPr="00DC212E">
        <w:rPr>
          <w:rFonts w:ascii="Calibri" w:hAnsi="Calibri" w:cs="Calibri"/>
          <w:sz w:val="22"/>
          <w:szCs w:val="22"/>
        </w:rPr>
        <w:t>αριθμός ινών και πορτών</w:t>
      </w:r>
      <w:r>
        <w:rPr>
          <w:rFonts w:ascii="Calibri" w:hAnsi="Calibri" w:cs="Calibri"/>
          <w:sz w:val="22"/>
          <w:szCs w:val="22"/>
        </w:rPr>
        <w:t xml:space="preserve">. </w:t>
      </w:r>
    </w:p>
    <w:p w14:paraId="1232FAC6" w14:textId="0EA1EF36" w:rsidR="004014AE" w:rsidRPr="00842786" w:rsidRDefault="004014AE"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Ο ίδιος πάροχος </w:t>
      </w:r>
      <w:r w:rsidR="003C28FC">
        <w:rPr>
          <w:rFonts w:ascii="Calibri" w:hAnsi="Calibri" w:cs="Calibri"/>
          <w:sz w:val="22"/>
          <w:szCs w:val="22"/>
        </w:rPr>
        <w:t>(----)</w:t>
      </w:r>
      <w:r>
        <w:rPr>
          <w:rFonts w:ascii="Calibri" w:hAnsi="Calibri" w:cs="Calibri"/>
          <w:sz w:val="22"/>
          <w:szCs w:val="22"/>
        </w:rPr>
        <w:t xml:space="preserve"> αναφέρει ότι δεν είναι </w:t>
      </w:r>
      <w:r w:rsidRPr="00842786">
        <w:rPr>
          <w:rFonts w:ascii="Calibri" w:hAnsi="Calibri" w:cs="Calibri"/>
          <w:sz w:val="22"/>
          <w:szCs w:val="22"/>
        </w:rPr>
        <w:t>εφικτό να επαναχρησιμοποιηθούν οι υποδομές του δικτύου χαλκού</w:t>
      </w:r>
      <w:r>
        <w:rPr>
          <w:rFonts w:ascii="Calibri" w:hAnsi="Calibri" w:cs="Calibri"/>
          <w:sz w:val="22"/>
          <w:szCs w:val="22"/>
        </w:rPr>
        <w:t xml:space="preserve"> </w:t>
      </w:r>
      <w:r w:rsidRPr="00842786">
        <w:rPr>
          <w:rFonts w:ascii="Calibri" w:hAnsi="Calibri" w:cs="Calibri"/>
          <w:sz w:val="22"/>
          <w:szCs w:val="22"/>
        </w:rPr>
        <w:t xml:space="preserve">για το </w:t>
      </w:r>
      <w:proofErr w:type="spellStart"/>
      <w:r w:rsidRPr="00842786">
        <w:rPr>
          <w:rFonts w:ascii="Calibri" w:hAnsi="Calibri" w:cs="Calibri"/>
          <w:sz w:val="22"/>
          <w:szCs w:val="22"/>
        </w:rPr>
        <w:t>Distribution</w:t>
      </w:r>
      <w:proofErr w:type="spellEnd"/>
      <w:r w:rsidRPr="00842786">
        <w:rPr>
          <w:rFonts w:ascii="Calibri" w:hAnsi="Calibri" w:cs="Calibri"/>
          <w:sz w:val="22"/>
          <w:szCs w:val="22"/>
        </w:rPr>
        <w:t xml:space="preserve"> τμήμα του δικτύου FTTH όπου απαιτείται σημαντικά μεγαλύτερος αριθμός σωληνίσκων.</w:t>
      </w:r>
      <w:r>
        <w:rPr>
          <w:rFonts w:ascii="Calibri" w:hAnsi="Calibri" w:cs="Calibri"/>
          <w:sz w:val="22"/>
          <w:szCs w:val="22"/>
        </w:rPr>
        <w:t xml:space="preserve"> Προτείνει επίσης,</w:t>
      </w:r>
      <w:r w:rsidRPr="00842786">
        <w:rPr>
          <w:rFonts w:ascii="Calibri" w:hAnsi="Calibri" w:cs="Calibri"/>
          <w:sz w:val="22"/>
          <w:szCs w:val="22"/>
        </w:rPr>
        <w:t xml:space="preserve"> να χρησιμοποιηθεί κοινή προσέγγιση επαναχρησιμοποίησης των υποδομών μεταξύ του δικτύου VHCN/FTTC και του δικτύου χαλκού</w:t>
      </w:r>
      <w:r>
        <w:rPr>
          <w:rFonts w:ascii="Calibri" w:hAnsi="Calibri" w:cs="Calibri"/>
          <w:sz w:val="22"/>
          <w:szCs w:val="22"/>
        </w:rPr>
        <w:t xml:space="preserve">, ενώ για </w:t>
      </w:r>
      <w:r w:rsidRPr="00842786">
        <w:rPr>
          <w:rFonts w:ascii="Calibri" w:hAnsi="Calibri" w:cs="Calibri"/>
          <w:sz w:val="22"/>
          <w:szCs w:val="22"/>
        </w:rPr>
        <w:t xml:space="preserve">τον υπολογισμό </w:t>
      </w:r>
      <w:r>
        <w:rPr>
          <w:rFonts w:ascii="Calibri" w:hAnsi="Calibri" w:cs="Calibri"/>
          <w:sz w:val="22"/>
          <w:szCs w:val="22"/>
        </w:rPr>
        <w:t xml:space="preserve">κόστους </w:t>
      </w:r>
      <w:r w:rsidRPr="00842786">
        <w:rPr>
          <w:rFonts w:ascii="Calibri" w:hAnsi="Calibri" w:cs="Calibri"/>
          <w:sz w:val="22"/>
          <w:szCs w:val="22"/>
        </w:rPr>
        <w:t xml:space="preserve">των καλωδίων (χαλκού ή οπτικών ινών) δεν πρέπει να χρησιμοποιούνται οι </w:t>
      </w:r>
      <w:proofErr w:type="spellStart"/>
      <w:r w:rsidRPr="00842786">
        <w:rPr>
          <w:rFonts w:ascii="Calibri" w:hAnsi="Calibri" w:cs="Calibri"/>
          <w:sz w:val="22"/>
          <w:szCs w:val="22"/>
        </w:rPr>
        <w:t>αναπόσβεστες</w:t>
      </w:r>
      <w:proofErr w:type="spellEnd"/>
      <w:r w:rsidRPr="00842786">
        <w:rPr>
          <w:rFonts w:ascii="Calibri" w:hAnsi="Calibri" w:cs="Calibri"/>
          <w:sz w:val="22"/>
          <w:szCs w:val="22"/>
        </w:rPr>
        <w:t xml:space="preserve"> αξίες ενώ πρέπει να προβλέπονται και σχετικές επανεπενδύσεις.</w:t>
      </w:r>
    </w:p>
    <w:p w14:paraId="2C94B22F" w14:textId="6D658646" w:rsidR="004014AE" w:rsidRPr="00063071" w:rsidRDefault="00371621"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Ένας πάροχος </w:t>
      </w:r>
      <w:r w:rsidR="003C28FC">
        <w:rPr>
          <w:rFonts w:ascii="Calibri" w:hAnsi="Calibri" w:cs="Calibri"/>
          <w:sz w:val="22"/>
          <w:szCs w:val="22"/>
        </w:rPr>
        <w:t>(----)</w:t>
      </w:r>
      <w:r w:rsidRPr="00371621">
        <w:rPr>
          <w:rFonts w:ascii="Calibri" w:hAnsi="Calibri" w:cs="Calibri"/>
          <w:sz w:val="22"/>
          <w:szCs w:val="22"/>
        </w:rPr>
        <w:t>,</w:t>
      </w:r>
      <w:r>
        <w:rPr>
          <w:rFonts w:ascii="Calibri" w:hAnsi="Calibri" w:cs="Calibri"/>
          <w:sz w:val="22"/>
          <w:szCs w:val="22"/>
        </w:rPr>
        <w:t xml:space="preserve"> λ</w:t>
      </w:r>
      <w:r w:rsidR="004014AE">
        <w:rPr>
          <w:rFonts w:ascii="Calibri" w:hAnsi="Calibri" w:cs="Calibri"/>
          <w:sz w:val="22"/>
          <w:szCs w:val="22"/>
        </w:rPr>
        <w:t>όγω επικείμενης συμφόρησης, και με δε</w:t>
      </w:r>
      <w:r w:rsidR="004014AE" w:rsidRPr="00063071">
        <w:rPr>
          <w:rFonts w:ascii="Calibri" w:hAnsi="Calibri" w:cs="Calibri"/>
          <w:sz w:val="22"/>
          <w:szCs w:val="22"/>
        </w:rPr>
        <w:t xml:space="preserve">δομένο ότι η μέγιστη ταχύτητα του PON δέντρου στην περίπτωση του XGSPON είναι 10Gbps, </w:t>
      </w:r>
      <w:r>
        <w:rPr>
          <w:rFonts w:ascii="Calibri" w:hAnsi="Calibri" w:cs="Calibri"/>
          <w:sz w:val="22"/>
          <w:szCs w:val="22"/>
        </w:rPr>
        <w:t>προτείνει</w:t>
      </w:r>
      <w:r w:rsidR="004014AE">
        <w:rPr>
          <w:rFonts w:ascii="Calibri" w:hAnsi="Calibri" w:cs="Calibri"/>
          <w:sz w:val="22"/>
          <w:szCs w:val="22"/>
        </w:rPr>
        <w:t>, κ</w:t>
      </w:r>
      <w:r w:rsidR="004014AE" w:rsidRPr="00063071">
        <w:rPr>
          <w:rFonts w:ascii="Calibri" w:hAnsi="Calibri" w:cs="Calibri"/>
          <w:sz w:val="22"/>
          <w:szCs w:val="22"/>
        </w:rPr>
        <w:t>αθώς αυξάνουν οι ταχύτητες, να υπάρχει κανόνας που να μειώνει αναλογικά τον επιτρεπόμενο αριθμό χρηστών σε ένα PON δέντρο.</w:t>
      </w:r>
      <w:r w:rsidR="004014AE">
        <w:rPr>
          <w:rFonts w:ascii="Calibri" w:hAnsi="Calibri" w:cs="Calibri"/>
          <w:sz w:val="22"/>
          <w:szCs w:val="22"/>
        </w:rPr>
        <w:t xml:space="preserve"> Επίσης, </w:t>
      </w:r>
      <w:r w:rsidR="004014AE" w:rsidRPr="00063071">
        <w:rPr>
          <w:rFonts w:ascii="Calibri" w:hAnsi="Calibri" w:cs="Calibri"/>
          <w:sz w:val="22"/>
          <w:szCs w:val="22"/>
        </w:rPr>
        <w:t>για το SVO,</w:t>
      </w:r>
      <w:r w:rsidR="004014AE">
        <w:rPr>
          <w:rFonts w:ascii="Calibri" w:hAnsi="Calibri" w:cs="Calibri"/>
          <w:sz w:val="22"/>
          <w:szCs w:val="22"/>
        </w:rPr>
        <w:t xml:space="preserve"> το μοντέλο </w:t>
      </w:r>
      <w:r w:rsidR="004014AE" w:rsidRPr="00063071">
        <w:rPr>
          <w:rFonts w:ascii="Calibri" w:hAnsi="Calibri" w:cs="Calibri"/>
          <w:sz w:val="22"/>
          <w:szCs w:val="22"/>
        </w:rPr>
        <w:t>να λαμβάνει υπόψη τις μετακινήσεις των χρηστών προς τις υψηλότερες υπηρεσίες</w:t>
      </w:r>
      <w:r w:rsidR="004014AE" w:rsidRPr="004014AE">
        <w:rPr>
          <w:rFonts w:ascii="Calibri" w:hAnsi="Calibri" w:cs="Calibri"/>
          <w:sz w:val="22"/>
          <w:szCs w:val="22"/>
        </w:rPr>
        <w:t xml:space="preserve"> </w:t>
      </w:r>
      <w:r w:rsidR="004014AE" w:rsidRPr="00063071">
        <w:rPr>
          <w:rFonts w:ascii="Calibri" w:hAnsi="Calibri" w:cs="Calibri"/>
          <w:sz w:val="22"/>
          <w:szCs w:val="22"/>
        </w:rPr>
        <w:t>που γίνονται στην διάρκεια της χρονικής περιόδου που θα καλύπτει το μοντέλο.</w:t>
      </w:r>
    </w:p>
    <w:p w14:paraId="5F847776" w14:textId="5D84B28E" w:rsidR="004014AE" w:rsidRDefault="004014AE"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Τέλος αναφέρει ότι </w:t>
      </w:r>
      <w:r w:rsidRPr="00063071">
        <w:rPr>
          <w:rFonts w:ascii="Calibri" w:hAnsi="Calibri" w:cs="Calibri"/>
          <w:sz w:val="22"/>
          <w:szCs w:val="22"/>
        </w:rPr>
        <w:t>ο υπολογισμός του πλήθους των καρτών XGSPON θα πρέπει να λαμβάνει υπόψη κυρίως την κίνηση και να συμπεριληφθεί επίσης και το κόστος επενδύσεων για την προμήθεια νέου ενεργού εξοπλισμού εντός της περιόδου αναφοράς του μοντέλου (κάρτες 25G κτλ.).</w:t>
      </w:r>
    </w:p>
    <w:p w14:paraId="5B068AED" w14:textId="61448FBE" w:rsidR="002A2674" w:rsidRPr="00C60354" w:rsidRDefault="00C60354" w:rsidP="002A2674">
      <w:pPr>
        <w:pStyle w:val="ab"/>
        <w:spacing w:before="143" w:line="259" w:lineRule="auto"/>
        <w:ind w:right="136"/>
        <w:rPr>
          <w:rFonts w:ascii="Calibri" w:hAnsi="Calibri" w:cs="Calibri"/>
          <w:sz w:val="22"/>
          <w:szCs w:val="22"/>
        </w:rPr>
      </w:pPr>
      <w:r>
        <w:rPr>
          <w:rFonts w:ascii="Calibri" w:hAnsi="Calibri" w:cs="Calibri"/>
          <w:sz w:val="22"/>
          <w:szCs w:val="22"/>
        </w:rPr>
        <w:t xml:space="preserve">Ένας </w:t>
      </w:r>
      <w:r w:rsidR="002A2674">
        <w:rPr>
          <w:rFonts w:ascii="Calibri" w:hAnsi="Calibri" w:cs="Calibri"/>
          <w:sz w:val="22"/>
          <w:szCs w:val="22"/>
        </w:rPr>
        <w:t>πάροχος</w:t>
      </w:r>
      <w:r>
        <w:rPr>
          <w:rFonts w:ascii="Calibri" w:hAnsi="Calibri" w:cs="Calibri"/>
          <w:sz w:val="22"/>
          <w:szCs w:val="22"/>
        </w:rPr>
        <w:t xml:space="preserve"> </w:t>
      </w:r>
      <w:r w:rsidR="003C28FC">
        <w:rPr>
          <w:rFonts w:ascii="Calibri" w:hAnsi="Calibri" w:cs="Calibri"/>
          <w:sz w:val="22"/>
          <w:szCs w:val="22"/>
        </w:rPr>
        <w:t>(----)</w:t>
      </w:r>
      <w:r w:rsidRPr="00C60354">
        <w:rPr>
          <w:rFonts w:ascii="Calibri" w:hAnsi="Calibri" w:cs="Calibri"/>
          <w:sz w:val="22"/>
          <w:szCs w:val="22"/>
        </w:rPr>
        <w:t xml:space="preserve"> </w:t>
      </w:r>
      <w:r>
        <w:rPr>
          <w:rFonts w:ascii="Calibri" w:hAnsi="Calibri" w:cs="Calibri"/>
          <w:sz w:val="22"/>
          <w:szCs w:val="22"/>
        </w:rPr>
        <w:t>αναφέρει ότι η</w:t>
      </w:r>
      <w:r w:rsidRPr="00C60354">
        <w:rPr>
          <w:rFonts w:ascii="Calibri" w:hAnsi="Calibri" w:cs="Calibri"/>
          <w:sz w:val="22"/>
          <w:szCs w:val="22"/>
        </w:rPr>
        <w:t xml:space="preserve"> χρήση εξ αρχής της τεχνολογίας XGSPON υπερεκτιμά το κόστος και δεν υποστηρίζεται ούτε από τις παραδοχές της ΕΕΤΤ, όπου για τις υπηρεσίες ταχύτητας 3Gbps υπολογίζει για το 2024 ζήτηση μόλις στο 0,02% φτάνοντας κατ’ ανώτατο στο 0,73% το 2032, γεγονός που υποδεικνύει ότι οποιαδήποτε επένδυση στην ακριβότερη </w:t>
      </w:r>
      <w:r w:rsidRPr="00C60354">
        <w:rPr>
          <w:rFonts w:ascii="Calibri" w:hAnsi="Calibri" w:cs="Calibri"/>
          <w:sz w:val="22"/>
          <w:szCs w:val="22"/>
        </w:rPr>
        <w:lastRenderedPageBreak/>
        <w:t>τεχνολογία, όπως είναι η XGSPON, από το αρχικό έτος κατασκευής (2019) ή/και όχι σταδιακά θα μπορούσε να χαρακτηριστεί ως μη αποδοτική</w:t>
      </w:r>
      <w:r w:rsidR="002A2674">
        <w:rPr>
          <w:rFonts w:ascii="Calibri" w:hAnsi="Calibri" w:cs="Calibri"/>
          <w:sz w:val="22"/>
          <w:szCs w:val="22"/>
        </w:rPr>
        <w:t>. Επιπλέον, αναφέρει ότι η</w:t>
      </w:r>
      <w:r w:rsidR="002A2674" w:rsidRPr="00C60354">
        <w:rPr>
          <w:rFonts w:ascii="Calibri" w:hAnsi="Calibri" w:cs="Calibri"/>
          <w:sz w:val="22"/>
          <w:szCs w:val="22"/>
        </w:rPr>
        <w:t xml:space="preserve"> υπόθεση της πλήρους αντικατάστασης περιουσιακών στοιχείων το 2019 και το 2027 για τις OLT κάρτες πρέπει να επανεξεταστεί δεδομένου ότι ένας πάροχος δικτύου αναβαθμίζει σταδιακά τον εξοπλισμό δικτύου. </w:t>
      </w:r>
    </w:p>
    <w:p w14:paraId="17820D7A" w14:textId="264756FE" w:rsidR="00C60354" w:rsidRDefault="008E26D2" w:rsidP="004014AE">
      <w:pPr>
        <w:pStyle w:val="ab"/>
        <w:spacing w:before="143" w:line="259" w:lineRule="auto"/>
        <w:ind w:right="136"/>
        <w:rPr>
          <w:rFonts w:ascii="Calibri" w:hAnsi="Calibri" w:cs="Calibri"/>
          <w:sz w:val="22"/>
          <w:szCs w:val="22"/>
        </w:rPr>
      </w:pPr>
      <w:r w:rsidRPr="008E26D2">
        <w:rPr>
          <w:rFonts w:ascii="Calibri" w:hAnsi="Calibri" w:cs="Calibri"/>
          <w:sz w:val="22"/>
          <w:szCs w:val="22"/>
        </w:rPr>
        <w:t xml:space="preserve">Ένας συμμετέχων </w:t>
      </w:r>
      <w:r w:rsidR="003C28FC">
        <w:rPr>
          <w:rFonts w:ascii="Calibri" w:hAnsi="Calibri" w:cs="Calibri"/>
          <w:sz w:val="22"/>
          <w:szCs w:val="22"/>
        </w:rPr>
        <w:t>(----)</w:t>
      </w:r>
      <w:r w:rsidRPr="008E26D2">
        <w:rPr>
          <w:rFonts w:ascii="Calibri" w:hAnsi="Calibri" w:cs="Calibri"/>
          <w:sz w:val="22"/>
          <w:szCs w:val="22"/>
        </w:rPr>
        <w:t xml:space="preserve"> επισημαίνει ότι η εγκατάσταση καρτών XGSPON για το OLT εκκίνησε μεταγενέστερα του 2019 και ως εκ τούτου το κόστος αναβάθμισης ή αντικατάστασης από την προγενέστερη τεχνολογία θα πρέπει να ληφθεί υπόψη.</w:t>
      </w:r>
    </w:p>
    <w:p w14:paraId="5BA04FBA" w14:textId="5D835CEA" w:rsidR="00D97C90" w:rsidRDefault="00FB6755" w:rsidP="00D97C90">
      <w:pPr>
        <w:pStyle w:val="ab"/>
        <w:spacing w:before="140"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αναφέρει ότι το μοντέλο προβλέπει ένα </w:t>
      </w:r>
      <w:r>
        <w:rPr>
          <w:rFonts w:ascii="Calibri" w:hAnsi="Calibri" w:cs="Calibri"/>
          <w:sz w:val="22"/>
          <w:szCs w:val="22"/>
          <w:lang w:val="en-US"/>
        </w:rPr>
        <w:t>splitter</w:t>
      </w:r>
      <w:r w:rsidRPr="00FB6755">
        <w:rPr>
          <w:rFonts w:ascii="Calibri" w:hAnsi="Calibri" w:cs="Calibri"/>
          <w:sz w:val="22"/>
          <w:szCs w:val="22"/>
        </w:rPr>
        <w:t xml:space="preserve"> </w:t>
      </w:r>
      <w:r>
        <w:rPr>
          <w:rFonts w:ascii="Calibri" w:hAnsi="Calibri" w:cs="Calibri"/>
          <w:sz w:val="22"/>
          <w:szCs w:val="22"/>
        </w:rPr>
        <w:t xml:space="preserve">ανά πολυκατοικία και ένα ανά τέσσερεις μονοκατοικίες, οδηγώντας σε χρήση υπερβολικού αριθμού </w:t>
      </w:r>
      <w:proofErr w:type="spellStart"/>
      <w:r w:rsidRPr="00FB6755">
        <w:rPr>
          <w:rFonts w:ascii="Calibri" w:hAnsi="Calibri" w:cs="Calibri"/>
          <w:sz w:val="22"/>
          <w:szCs w:val="22"/>
        </w:rPr>
        <w:t>Splitter</w:t>
      </w:r>
      <w:proofErr w:type="spellEnd"/>
      <w:r w:rsidRPr="00FB6755">
        <w:rPr>
          <w:rFonts w:ascii="Calibri" w:hAnsi="Calibri" w:cs="Calibri"/>
          <w:sz w:val="22"/>
          <w:szCs w:val="22"/>
        </w:rPr>
        <w:t xml:space="preserve"> μη συμβατό με τη θεωρητική αναλογία 1:64. Επιπλέον, δεν αποσαφηνίζεται</w:t>
      </w:r>
      <w:r>
        <w:rPr>
          <w:rFonts w:ascii="Calibri" w:hAnsi="Calibri" w:cs="Calibri"/>
          <w:sz w:val="22"/>
          <w:szCs w:val="22"/>
        </w:rPr>
        <w:t xml:space="preserve"> αν</w:t>
      </w:r>
      <w:r w:rsidRPr="00FB6755">
        <w:rPr>
          <w:rFonts w:ascii="Calibri" w:hAnsi="Calibri" w:cs="Calibri"/>
          <w:sz w:val="22"/>
          <w:szCs w:val="22"/>
        </w:rPr>
        <w:t xml:space="preserve"> τοποθετούνται </w:t>
      </w:r>
      <w:r>
        <w:rPr>
          <w:rFonts w:ascii="Calibri" w:hAnsi="Calibri" w:cs="Calibri"/>
          <w:sz w:val="22"/>
          <w:szCs w:val="22"/>
          <w:lang w:val="en-US"/>
        </w:rPr>
        <w:t>Splitters</w:t>
      </w:r>
      <w:r w:rsidR="00D97C90">
        <w:rPr>
          <w:rFonts w:ascii="Calibri" w:hAnsi="Calibri" w:cs="Calibri"/>
          <w:sz w:val="22"/>
          <w:szCs w:val="22"/>
        </w:rPr>
        <w:t xml:space="preserve"> στα κτίρια ή/</w:t>
      </w:r>
      <w:r>
        <w:rPr>
          <w:rFonts w:ascii="Calibri" w:hAnsi="Calibri" w:cs="Calibri"/>
          <w:sz w:val="22"/>
          <w:szCs w:val="22"/>
        </w:rPr>
        <w:t xml:space="preserve"> και </w:t>
      </w:r>
      <w:r w:rsidRPr="00FB6755">
        <w:rPr>
          <w:rFonts w:ascii="Calibri" w:hAnsi="Calibri" w:cs="Calibri"/>
          <w:sz w:val="22"/>
          <w:szCs w:val="22"/>
        </w:rPr>
        <w:t>στην καμπίνα ή ενδιάμεσα</w:t>
      </w:r>
      <w:r w:rsidR="00D97C90">
        <w:rPr>
          <w:rFonts w:ascii="Calibri" w:hAnsi="Calibri" w:cs="Calibri"/>
          <w:sz w:val="22"/>
          <w:szCs w:val="22"/>
        </w:rPr>
        <w:t xml:space="preserve">. Αναφέρει λοιπόν, ότι η </w:t>
      </w:r>
      <w:r w:rsidR="00D97C90" w:rsidRPr="00D97C90">
        <w:rPr>
          <w:rFonts w:ascii="Calibri" w:hAnsi="Calibri" w:cs="Calibri"/>
          <w:sz w:val="22"/>
          <w:szCs w:val="22"/>
        </w:rPr>
        <w:t xml:space="preserve"> επιλογή της τοποθεσίας και της αναλογίας των διαχωριστών πρέπει να λαμβάνει υπόψη τρεις βασικούς παράγοντες: </w:t>
      </w:r>
    </w:p>
    <w:p w14:paraId="7F6AED9D" w14:textId="3E35136A" w:rsidR="00D97C90" w:rsidRPr="00D97C90" w:rsidRDefault="00D97C90" w:rsidP="00D97C90">
      <w:pPr>
        <w:pStyle w:val="Default"/>
        <w:numPr>
          <w:ilvl w:val="0"/>
          <w:numId w:val="18"/>
        </w:numPr>
        <w:spacing w:before="140" w:after="120"/>
        <w:rPr>
          <w:rFonts w:ascii="Calibri" w:hAnsi="Calibri" w:cs="Calibri"/>
          <w:sz w:val="22"/>
          <w:szCs w:val="22"/>
        </w:rPr>
      </w:pPr>
      <w:r w:rsidRPr="00D97C90">
        <w:rPr>
          <w:rFonts w:ascii="Calibri" w:hAnsi="Calibri" w:cs="Calibri"/>
          <w:sz w:val="22"/>
          <w:szCs w:val="22"/>
        </w:rPr>
        <w:t>το κόστος, ώστε να επιτευχθεί ισορροπία μεταξύ καλωδιώσεων και εξοπλισμού καμπίνας</w:t>
      </w:r>
      <w:r>
        <w:rPr>
          <w:rFonts w:ascii="Calibri" w:hAnsi="Calibri" w:cs="Calibri"/>
          <w:sz w:val="22"/>
          <w:szCs w:val="22"/>
        </w:rPr>
        <w:t xml:space="preserve">, αν είναι στα κτίρια </w:t>
      </w:r>
      <w:r w:rsidRPr="00D97C90">
        <w:rPr>
          <w:rFonts w:ascii="Calibri" w:hAnsi="Calibri" w:cs="Calibri"/>
          <w:sz w:val="22"/>
          <w:szCs w:val="22"/>
        </w:rPr>
        <w:t>απαιτείται αντίστοιχα μία θύρα OLT στην ενεργή καμπίνα</w:t>
      </w:r>
      <w:r>
        <w:rPr>
          <w:rFonts w:ascii="Calibri" w:hAnsi="Calibri" w:cs="Calibri"/>
          <w:sz w:val="22"/>
          <w:szCs w:val="22"/>
        </w:rPr>
        <w:t xml:space="preserve">, οπότε κρίνεται πιο ρεαλιστική η παροχή υπηρεσιών από έναν </w:t>
      </w:r>
      <w:r>
        <w:rPr>
          <w:rFonts w:ascii="Calibri" w:hAnsi="Calibri" w:cs="Calibri"/>
          <w:sz w:val="22"/>
          <w:szCs w:val="22"/>
          <w:lang w:val="en-US"/>
        </w:rPr>
        <w:t>splitter</w:t>
      </w:r>
      <w:r w:rsidRPr="00D97C90">
        <w:rPr>
          <w:rFonts w:ascii="Calibri" w:hAnsi="Calibri" w:cs="Calibri"/>
          <w:sz w:val="22"/>
          <w:szCs w:val="22"/>
        </w:rPr>
        <w:t xml:space="preserve"> </w:t>
      </w:r>
      <w:r>
        <w:rPr>
          <w:rFonts w:ascii="Calibri" w:hAnsi="Calibri" w:cs="Calibri"/>
          <w:sz w:val="22"/>
          <w:szCs w:val="22"/>
        </w:rPr>
        <w:t>σε ένα πλήθος 100-300 κτιρίων,</w:t>
      </w:r>
    </w:p>
    <w:p w14:paraId="6F3AA822" w14:textId="1EA5D9C7" w:rsidR="00D97C90" w:rsidRDefault="00D97C90" w:rsidP="00D97C90">
      <w:pPr>
        <w:pStyle w:val="Default"/>
        <w:numPr>
          <w:ilvl w:val="0"/>
          <w:numId w:val="18"/>
        </w:numPr>
        <w:spacing w:before="140" w:after="120"/>
        <w:rPr>
          <w:rFonts w:ascii="Calibri" w:hAnsi="Calibri" w:cs="Calibri"/>
          <w:sz w:val="22"/>
          <w:szCs w:val="22"/>
        </w:rPr>
      </w:pPr>
      <w:r w:rsidRPr="00D97C90">
        <w:rPr>
          <w:rFonts w:ascii="Calibri" w:hAnsi="Calibri" w:cs="Calibri"/>
          <w:sz w:val="22"/>
          <w:szCs w:val="22"/>
        </w:rPr>
        <w:t>τον ρυθμό μετάδοσης ανά συνδρομητή, καθώς η αναλογία διαχωρισμού πρέπει να συνάδει με τις τεχνολογίες GPON ή XGSPON και την επιθυμητή ταχύτητα υπηρεσίας</w:t>
      </w:r>
      <w:r>
        <w:rPr>
          <w:rFonts w:ascii="Calibri" w:hAnsi="Calibri" w:cs="Calibri"/>
          <w:sz w:val="22"/>
          <w:szCs w:val="22"/>
        </w:rPr>
        <w:t>,</w:t>
      </w:r>
      <w:r w:rsidRPr="00D97C90">
        <w:rPr>
          <w:rFonts w:ascii="Calibri" w:hAnsi="Calibri" w:cs="Calibri"/>
          <w:sz w:val="22"/>
          <w:szCs w:val="22"/>
        </w:rPr>
        <w:t xml:space="preserve"> </w:t>
      </w:r>
    </w:p>
    <w:p w14:paraId="069D4178" w14:textId="7A02E6E9" w:rsidR="00A748A3" w:rsidRDefault="00D97C90" w:rsidP="00D97C90">
      <w:pPr>
        <w:pStyle w:val="Default"/>
        <w:numPr>
          <w:ilvl w:val="0"/>
          <w:numId w:val="18"/>
        </w:numPr>
        <w:spacing w:before="140" w:after="120"/>
        <w:rPr>
          <w:rFonts w:ascii="Calibri" w:hAnsi="Calibri" w:cs="Calibri"/>
          <w:sz w:val="22"/>
          <w:szCs w:val="22"/>
        </w:rPr>
      </w:pPr>
      <w:r w:rsidRPr="00D97C90">
        <w:rPr>
          <w:rFonts w:ascii="Calibri" w:hAnsi="Calibri" w:cs="Calibri"/>
          <w:sz w:val="22"/>
          <w:szCs w:val="22"/>
        </w:rPr>
        <w:t>τις επιλογές συστέγασης, που μπορούν να βελτιστοποιήσουν τη χρήση των θυρών OLT.</w:t>
      </w:r>
    </w:p>
    <w:p w14:paraId="78E3D084" w14:textId="25E197AB" w:rsidR="007B6FC8" w:rsidRPr="007B6FC8" w:rsidRDefault="007B6FC8" w:rsidP="007B6FC8">
      <w:pPr>
        <w:pStyle w:val="ab"/>
        <w:spacing w:before="140"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αναφέρει ότι το μοντέλο προβαίνει σε </w:t>
      </w:r>
      <w:proofErr w:type="spellStart"/>
      <w:r w:rsidRPr="007B6FC8">
        <w:rPr>
          <w:rFonts w:ascii="Calibri" w:hAnsi="Calibri" w:cs="Calibri"/>
          <w:sz w:val="22"/>
          <w:szCs w:val="22"/>
        </w:rPr>
        <w:t>υπερδιαστασιολόγηση</w:t>
      </w:r>
      <w:proofErr w:type="spellEnd"/>
      <w:r w:rsidRPr="007B6FC8">
        <w:rPr>
          <w:rFonts w:ascii="Calibri" w:hAnsi="Calibri" w:cs="Calibri"/>
          <w:sz w:val="22"/>
          <w:szCs w:val="22"/>
        </w:rPr>
        <w:t xml:space="preserve"> δρομολογητών </w:t>
      </w:r>
      <w:r>
        <w:rPr>
          <w:rFonts w:ascii="Calibri" w:hAnsi="Calibri" w:cs="Calibri"/>
          <w:sz w:val="22"/>
          <w:szCs w:val="22"/>
        </w:rPr>
        <w:t xml:space="preserve">χωρίς να υπάρχει απαίτηση </w:t>
      </w:r>
      <w:r w:rsidRPr="007B6FC8">
        <w:rPr>
          <w:rFonts w:ascii="Calibri" w:hAnsi="Calibri" w:cs="Calibri"/>
          <w:sz w:val="22"/>
          <w:szCs w:val="22"/>
        </w:rPr>
        <w:t>διακριτή</w:t>
      </w:r>
      <w:r>
        <w:rPr>
          <w:rFonts w:ascii="Calibri" w:hAnsi="Calibri" w:cs="Calibri"/>
          <w:sz w:val="22"/>
          <w:szCs w:val="22"/>
        </w:rPr>
        <w:t>ς</w:t>
      </w:r>
      <w:r w:rsidRPr="007B6FC8">
        <w:rPr>
          <w:rFonts w:ascii="Calibri" w:hAnsi="Calibri" w:cs="Calibri"/>
          <w:sz w:val="22"/>
          <w:szCs w:val="22"/>
        </w:rPr>
        <w:t xml:space="preserve"> πλήρη</w:t>
      </w:r>
      <w:r>
        <w:rPr>
          <w:rFonts w:ascii="Calibri" w:hAnsi="Calibri" w:cs="Calibri"/>
          <w:sz w:val="22"/>
          <w:szCs w:val="22"/>
        </w:rPr>
        <w:t>ς</w:t>
      </w:r>
      <w:r w:rsidRPr="007B6FC8">
        <w:rPr>
          <w:rFonts w:ascii="Calibri" w:hAnsi="Calibri" w:cs="Calibri"/>
          <w:sz w:val="22"/>
          <w:szCs w:val="22"/>
        </w:rPr>
        <w:t xml:space="preserve"> εφεδρεία</w:t>
      </w:r>
      <w:r>
        <w:rPr>
          <w:rFonts w:ascii="Calibri" w:hAnsi="Calibri" w:cs="Calibri"/>
          <w:sz w:val="22"/>
          <w:szCs w:val="22"/>
        </w:rPr>
        <w:t xml:space="preserve">ς ή ανάγκη </w:t>
      </w:r>
      <w:r w:rsidRPr="007B6FC8">
        <w:rPr>
          <w:rFonts w:ascii="Calibri" w:hAnsi="Calibri" w:cs="Calibri"/>
          <w:sz w:val="22"/>
          <w:szCs w:val="22"/>
        </w:rPr>
        <w:t>εφεδρική</w:t>
      </w:r>
      <w:r>
        <w:rPr>
          <w:rFonts w:ascii="Calibri" w:hAnsi="Calibri" w:cs="Calibri"/>
          <w:sz w:val="22"/>
          <w:szCs w:val="22"/>
        </w:rPr>
        <w:t>ς</w:t>
      </w:r>
      <w:r w:rsidRPr="007B6FC8">
        <w:rPr>
          <w:rFonts w:ascii="Calibri" w:hAnsi="Calibri" w:cs="Calibri"/>
          <w:sz w:val="22"/>
          <w:szCs w:val="22"/>
        </w:rPr>
        <w:t xml:space="preserve"> χωρητικότητα</w:t>
      </w:r>
      <w:r>
        <w:rPr>
          <w:rFonts w:ascii="Calibri" w:hAnsi="Calibri" w:cs="Calibri"/>
          <w:sz w:val="22"/>
          <w:szCs w:val="22"/>
        </w:rPr>
        <w:t>ς</w:t>
      </w:r>
      <w:r w:rsidRPr="007B6FC8">
        <w:rPr>
          <w:rFonts w:ascii="Calibri" w:hAnsi="Calibri" w:cs="Calibri"/>
          <w:sz w:val="22"/>
          <w:szCs w:val="22"/>
        </w:rPr>
        <w:t xml:space="preserve"> και στα δύο επίπεδα δρομολογητών δικτύου. </w:t>
      </w:r>
      <w:r>
        <w:rPr>
          <w:rFonts w:ascii="Calibri" w:hAnsi="Calibri" w:cs="Calibri"/>
          <w:sz w:val="22"/>
          <w:szCs w:val="22"/>
        </w:rPr>
        <w:t>Β</w:t>
      </w:r>
      <w:r w:rsidRPr="007B6FC8">
        <w:rPr>
          <w:rFonts w:ascii="Calibri" w:hAnsi="Calibri" w:cs="Calibri"/>
          <w:sz w:val="22"/>
          <w:szCs w:val="22"/>
        </w:rPr>
        <w:t>άσει των παραδοχών του μοντέλου, η αποδοτική χρήση των προβλεπόμενων δρομολογητών δε θα έπρεπε να ξεπερνά το 35%</w:t>
      </w:r>
      <w:r>
        <w:rPr>
          <w:rFonts w:ascii="Calibri" w:hAnsi="Calibri" w:cs="Calibri"/>
          <w:sz w:val="22"/>
          <w:szCs w:val="22"/>
        </w:rPr>
        <w:t>, οπότε καταλήγει ότι είναι εύλογη η αφαίρεση τ</w:t>
      </w:r>
      <w:r w:rsidRPr="007B6FC8">
        <w:rPr>
          <w:rFonts w:ascii="Calibri" w:hAnsi="Calibri" w:cs="Calibri"/>
          <w:sz w:val="22"/>
          <w:szCs w:val="22"/>
        </w:rPr>
        <w:t xml:space="preserve">ης πρόβλεψης αναφορικά με την απαιτούμενη πλήρη εφεδρεία στα επίπεδα δρομολογητών δικτύου και την μείωση του συντελεστή χρήσης στο 50%, ώστε να είναι διαθέσιμη και η εφεδρική χωρητικότητα. </w:t>
      </w:r>
    </w:p>
    <w:p w14:paraId="56C35B27" w14:textId="248DA543" w:rsidR="007B6FC8" w:rsidRPr="007B6FC8" w:rsidRDefault="007B6FC8" w:rsidP="007B6FC8">
      <w:pPr>
        <w:pStyle w:val="ab"/>
        <w:spacing w:before="140" w:line="259" w:lineRule="auto"/>
        <w:ind w:right="136"/>
        <w:rPr>
          <w:rFonts w:ascii="Calibri" w:hAnsi="Calibri" w:cs="Calibri"/>
          <w:sz w:val="22"/>
          <w:szCs w:val="22"/>
        </w:rPr>
      </w:pPr>
      <w:r>
        <w:rPr>
          <w:rFonts w:ascii="Calibri" w:hAnsi="Calibri" w:cs="Calibri"/>
          <w:sz w:val="22"/>
          <w:szCs w:val="22"/>
        </w:rPr>
        <w:t xml:space="preserve">Ο ίδιος συμμετέχων, αναφέρει ότι το μοντέλο προβαίνει σε </w:t>
      </w:r>
      <w:proofErr w:type="spellStart"/>
      <w:r w:rsidRPr="007B6FC8">
        <w:rPr>
          <w:rFonts w:ascii="Calibri" w:hAnsi="Calibri" w:cs="Calibri"/>
          <w:sz w:val="22"/>
          <w:szCs w:val="22"/>
        </w:rPr>
        <w:t>υπερδιαστασιολόγηση</w:t>
      </w:r>
      <w:proofErr w:type="spellEnd"/>
      <w:r w:rsidRPr="007B6FC8">
        <w:rPr>
          <w:rFonts w:ascii="Calibri" w:hAnsi="Calibri" w:cs="Calibri"/>
          <w:sz w:val="22"/>
          <w:szCs w:val="22"/>
        </w:rPr>
        <w:t xml:space="preserve"> OLT εξοπλισμού</w:t>
      </w:r>
      <w:r>
        <w:rPr>
          <w:rFonts w:ascii="Calibri" w:hAnsi="Calibri" w:cs="Calibri"/>
          <w:sz w:val="22"/>
          <w:szCs w:val="22"/>
        </w:rPr>
        <w:t>, καθώς γ</w:t>
      </w:r>
      <w:r w:rsidRPr="007B6FC8">
        <w:rPr>
          <w:rFonts w:ascii="Calibri" w:hAnsi="Calibri" w:cs="Calibri"/>
          <w:sz w:val="22"/>
          <w:szCs w:val="22"/>
        </w:rPr>
        <w:t xml:space="preserve">ίνεται η παραδοχή για μία θύρα οπισθόζευξης OLT ανά κάρτα VDSL αντί για μια OLT θύρα ανά VDSL καμπίνα/ MSAN. Η εν λόγω διαστασιοποίηση των πορτών κρίνεται υπερβολική, ενώ κρίνεται πιο εύλογη μία προσέγγιση μοντελοποίησης μίας θύρας οπισθόζευξης ανά καμπίνα για την οποία γίνεται η παραδοχή ότι έχει το μέγιστο τέσσερις κάρτες. Τα OLT </w:t>
      </w:r>
      <w:proofErr w:type="spellStart"/>
      <w:r w:rsidRPr="007B6FC8">
        <w:rPr>
          <w:rFonts w:ascii="Calibri" w:hAnsi="Calibri" w:cs="Calibri"/>
          <w:sz w:val="22"/>
          <w:szCs w:val="22"/>
        </w:rPr>
        <w:t>chassis</w:t>
      </w:r>
      <w:proofErr w:type="spellEnd"/>
      <w:r w:rsidRPr="007B6FC8">
        <w:rPr>
          <w:rFonts w:ascii="Calibri" w:hAnsi="Calibri" w:cs="Calibri"/>
          <w:sz w:val="22"/>
          <w:szCs w:val="22"/>
        </w:rPr>
        <w:t xml:space="preserve"> που προβλέπεται να παραμένουν σχεδόν κενά από άποψη καρτών φαίνεται να είναι </w:t>
      </w:r>
      <w:proofErr w:type="spellStart"/>
      <w:r w:rsidRPr="007B6FC8">
        <w:rPr>
          <w:rFonts w:ascii="Calibri" w:hAnsi="Calibri" w:cs="Calibri"/>
          <w:sz w:val="22"/>
          <w:szCs w:val="22"/>
        </w:rPr>
        <w:t>διαστασιοποιημένα</w:t>
      </w:r>
      <w:proofErr w:type="spellEnd"/>
      <w:r w:rsidRPr="007B6FC8">
        <w:rPr>
          <w:rFonts w:ascii="Calibri" w:hAnsi="Calibri" w:cs="Calibri"/>
          <w:sz w:val="22"/>
          <w:szCs w:val="22"/>
        </w:rPr>
        <w:t xml:space="preserve"> με μη αποδοτικό τρόπο. Προτείνεται η διαστασιοποίηση ενός μικρότερου OLT </w:t>
      </w:r>
      <w:proofErr w:type="spellStart"/>
      <w:r w:rsidRPr="007B6FC8">
        <w:rPr>
          <w:rFonts w:ascii="Calibri" w:hAnsi="Calibri" w:cs="Calibri"/>
          <w:sz w:val="22"/>
          <w:szCs w:val="22"/>
        </w:rPr>
        <w:t>chassis</w:t>
      </w:r>
      <w:proofErr w:type="spellEnd"/>
      <w:r w:rsidRPr="007B6FC8">
        <w:rPr>
          <w:rFonts w:ascii="Calibri" w:hAnsi="Calibri" w:cs="Calibri"/>
          <w:sz w:val="22"/>
          <w:szCs w:val="22"/>
        </w:rPr>
        <w:t xml:space="preserve"> με μέγιστο τέσσερις κάρτες για την πλειοψηφία των Α</w:t>
      </w:r>
      <w:r>
        <w:rPr>
          <w:rFonts w:ascii="Calibri" w:hAnsi="Calibri" w:cs="Calibri"/>
          <w:sz w:val="22"/>
          <w:szCs w:val="22"/>
        </w:rPr>
        <w:t>/</w:t>
      </w:r>
      <w:r w:rsidRPr="007B6FC8">
        <w:rPr>
          <w:rFonts w:ascii="Calibri" w:hAnsi="Calibri" w:cs="Calibri"/>
          <w:sz w:val="22"/>
          <w:szCs w:val="22"/>
        </w:rPr>
        <w:t xml:space="preserve">Κ. Κατά συνέπεια, το μοντέλο θα έπρεπε να προβλέπει δύο διακριτά στοιχεία παγίου OLT </w:t>
      </w:r>
      <w:proofErr w:type="spellStart"/>
      <w:r w:rsidRPr="007B6FC8">
        <w:rPr>
          <w:rFonts w:ascii="Calibri" w:hAnsi="Calibri" w:cs="Calibri"/>
          <w:sz w:val="22"/>
          <w:szCs w:val="22"/>
        </w:rPr>
        <w:t>chassis</w:t>
      </w:r>
      <w:proofErr w:type="spellEnd"/>
      <w:r w:rsidRPr="007B6FC8">
        <w:rPr>
          <w:rFonts w:ascii="Calibri" w:hAnsi="Calibri" w:cs="Calibri"/>
          <w:sz w:val="22"/>
          <w:szCs w:val="22"/>
        </w:rPr>
        <w:t xml:space="preserve">, το τρέχον και μία παραλλαγή μικρότερης χωρητικότητας. </w:t>
      </w:r>
    </w:p>
    <w:p w14:paraId="1FA9FD89"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57703D58" w14:textId="79236246"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DA5EF3">
        <w:rPr>
          <w:rFonts w:ascii="Calibri" w:hAnsi="Calibri" w:cs="Calibri"/>
          <w:b/>
          <w:color w:val="1F4E79" w:themeColor="accent1" w:themeShade="80"/>
          <w:sz w:val="22"/>
          <w:szCs w:val="22"/>
          <w:u w:val="single"/>
        </w:rPr>
        <w:t>8</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52E863B3" w14:textId="1B178FA1" w:rsidR="00C9115A" w:rsidRPr="00885865" w:rsidRDefault="00DA5EF3" w:rsidP="00D97C90">
      <w:pPr>
        <w:pStyle w:val="Default"/>
        <w:spacing w:before="140" w:after="120"/>
        <w:rPr>
          <w:rFonts w:ascii="Calibri" w:hAnsi="Calibri" w:cs="Calibri"/>
          <w:color w:val="1F4E79" w:themeColor="accent1" w:themeShade="80"/>
          <w:sz w:val="22"/>
          <w:szCs w:val="22"/>
        </w:rPr>
      </w:pPr>
      <w:r>
        <w:rPr>
          <w:rFonts w:ascii="Calibri" w:hAnsi="Calibri" w:cs="Calibri"/>
          <w:color w:val="1F4E79" w:themeColor="accent1" w:themeShade="80"/>
          <w:sz w:val="22"/>
          <w:szCs w:val="22"/>
        </w:rPr>
        <w:lastRenderedPageBreak/>
        <w:t xml:space="preserve">Σχετικά με την επιλογή του </w:t>
      </w:r>
      <w:r>
        <w:rPr>
          <w:rFonts w:ascii="Calibri" w:hAnsi="Calibri" w:cs="Calibri"/>
          <w:color w:val="1F4E79" w:themeColor="accent1" w:themeShade="80"/>
          <w:sz w:val="22"/>
          <w:szCs w:val="22"/>
          <w:lang w:val="en-US"/>
        </w:rPr>
        <w:t>splitting</w:t>
      </w:r>
      <w:r w:rsidRPr="00DA5EF3">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ratio</w:t>
      </w:r>
      <w:r w:rsidRPr="00DA5EF3">
        <w:rPr>
          <w:rFonts w:ascii="Calibri" w:hAnsi="Calibri" w:cs="Calibri"/>
          <w:color w:val="1F4E79" w:themeColor="accent1" w:themeShade="80"/>
          <w:sz w:val="22"/>
          <w:szCs w:val="22"/>
        </w:rPr>
        <w:t xml:space="preserve"> 1:6</w:t>
      </w:r>
      <w:r>
        <w:rPr>
          <w:rFonts w:ascii="Calibri" w:hAnsi="Calibri" w:cs="Calibri"/>
          <w:color w:val="1F4E79" w:themeColor="accent1" w:themeShade="80"/>
          <w:sz w:val="22"/>
          <w:szCs w:val="22"/>
        </w:rPr>
        <w:t xml:space="preserve">4 και το αντίστοιχο πλήθος ινών και </w:t>
      </w:r>
      <w:r>
        <w:rPr>
          <w:rFonts w:ascii="Calibri" w:hAnsi="Calibri" w:cs="Calibri"/>
          <w:color w:val="1F4E79" w:themeColor="accent1" w:themeShade="80"/>
          <w:sz w:val="22"/>
          <w:szCs w:val="22"/>
          <w:lang w:val="en-US"/>
        </w:rPr>
        <w:t>splitters</w:t>
      </w:r>
      <w:r>
        <w:rPr>
          <w:rFonts w:ascii="Calibri" w:hAnsi="Calibri" w:cs="Calibri"/>
          <w:color w:val="1F4E79" w:themeColor="accent1" w:themeShade="80"/>
          <w:sz w:val="22"/>
          <w:szCs w:val="22"/>
        </w:rPr>
        <w:t xml:space="preserve">, η ΕΕΤΤ βασίστηκε στις πλέον αποδοτικές υλοποιήσεις των παρόχων, όπως αυτές παρουσιάστηκαν στην ΕΕΤΤ κατά τη διαδικασία συλλογής στοιχείων, ενώ δεν αναφέρθηκε υλοποίηση 1:32 </w:t>
      </w:r>
      <w:r w:rsidR="00C30151">
        <w:rPr>
          <w:rFonts w:ascii="Calibri" w:hAnsi="Calibri" w:cs="Calibri"/>
          <w:color w:val="1F4E79" w:themeColor="accent1" w:themeShade="80"/>
          <w:sz w:val="22"/>
          <w:szCs w:val="22"/>
        </w:rPr>
        <w:t xml:space="preserve">από κανένα πάροχο </w:t>
      </w:r>
      <w:r>
        <w:rPr>
          <w:rFonts w:ascii="Calibri" w:hAnsi="Calibri" w:cs="Calibri"/>
          <w:color w:val="1F4E79" w:themeColor="accent1" w:themeShade="80"/>
          <w:sz w:val="22"/>
          <w:szCs w:val="22"/>
        </w:rPr>
        <w:t>ανεξαρτήτω</w:t>
      </w:r>
      <w:r w:rsidR="00C30151">
        <w:rPr>
          <w:rFonts w:ascii="Calibri" w:hAnsi="Calibri" w:cs="Calibri"/>
          <w:color w:val="1F4E79" w:themeColor="accent1" w:themeShade="80"/>
          <w:sz w:val="22"/>
          <w:szCs w:val="22"/>
        </w:rPr>
        <w:t xml:space="preserve">ς </w:t>
      </w:r>
      <w:r>
        <w:rPr>
          <w:rFonts w:ascii="Calibri" w:hAnsi="Calibri" w:cs="Calibri"/>
          <w:color w:val="1F4E79" w:themeColor="accent1" w:themeShade="80"/>
          <w:sz w:val="22"/>
          <w:szCs w:val="22"/>
        </w:rPr>
        <w:t xml:space="preserve">της ονομαστικής χωρητικότητας. Εκτιμάται ότι τυχόν σημαντική μελλοντική αύξηση των υπερύψηλών ταχυτήτων </w:t>
      </w:r>
      <w:r>
        <w:rPr>
          <w:rFonts w:ascii="Calibri" w:hAnsi="Calibri" w:cs="Calibri"/>
          <w:color w:val="1F4E79" w:themeColor="accent1" w:themeShade="80"/>
          <w:sz w:val="22"/>
          <w:szCs w:val="22"/>
          <w:lang w:val="en-US"/>
        </w:rPr>
        <w:t>FTTH</w:t>
      </w:r>
      <w:r>
        <w:rPr>
          <w:rFonts w:ascii="Calibri" w:hAnsi="Calibri" w:cs="Calibri"/>
          <w:color w:val="1F4E79" w:themeColor="accent1" w:themeShade="80"/>
          <w:sz w:val="22"/>
          <w:szCs w:val="22"/>
        </w:rPr>
        <w:t xml:space="preserve"> θα καλυφθεί κυρίως μέσω αναβαθμίσεων σε κάρτες </w:t>
      </w:r>
      <w:r>
        <w:rPr>
          <w:rFonts w:ascii="Calibri" w:hAnsi="Calibri" w:cs="Calibri"/>
          <w:color w:val="1F4E79" w:themeColor="accent1" w:themeShade="80"/>
          <w:sz w:val="22"/>
          <w:szCs w:val="22"/>
          <w:lang w:val="en-US"/>
        </w:rPr>
        <w:t>OLT</w:t>
      </w:r>
      <w:r w:rsidRPr="00DA5EF3">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μεγαλύτερης χωρητικότητας, </w:t>
      </w:r>
      <w:r w:rsidR="004C25B3">
        <w:rPr>
          <w:rFonts w:ascii="Calibri" w:hAnsi="Calibri" w:cs="Calibri"/>
          <w:color w:val="1F4E79" w:themeColor="accent1" w:themeShade="80"/>
          <w:sz w:val="22"/>
          <w:szCs w:val="22"/>
        </w:rPr>
        <w:t xml:space="preserve">κι όχι </w:t>
      </w:r>
      <w:r>
        <w:rPr>
          <w:rFonts w:ascii="Calibri" w:hAnsi="Calibri" w:cs="Calibri"/>
          <w:color w:val="1F4E79" w:themeColor="accent1" w:themeShade="80"/>
          <w:sz w:val="22"/>
          <w:szCs w:val="22"/>
        </w:rPr>
        <w:t xml:space="preserve">με την εγκατάσταση περισσότερων ινών ή σημαντικής αλλαγής στην αρχιτεκτονική του παθητικού δικτύου πρόσβασης. Ως εκ τούτου, η ΕΕΤΤ δεν θεωρεί εύλογες </w:t>
      </w:r>
      <w:r w:rsidR="00C9115A">
        <w:rPr>
          <w:rFonts w:ascii="Calibri" w:hAnsi="Calibri" w:cs="Calibri"/>
          <w:color w:val="1F4E79" w:themeColor="accent1" w:themeShade="80"/>
          <w:sz w:val="22"/>
          <w:szCs w:val="22"/>
        </w:rPr>
        <w:t xml:space="preserve">ούτε </w:t>
      </w:r>
      <w:r>
        <w:rPr>
          <w:rFonts w:ascii="Calibri" w:hAnsi="Calibri" w:cs="Calibri"/>
          <w:color w:val="1F4E79" w:themeColor="accent1" w:themeShade="80"/>
          <w:sz w:val="22"/>
          <w:szCs w:val="22"/>
        </w:rPr>
        <w:t xml:space="preserve">τις προτάσεις για </w:t>
      </w:r>
      <w:r w:rsidR="00C9115A">
        <w:rPr>
          <w:rFonts w:ascii="Calibri" w:hAnsi="Calibri" w:cs="Calibri"/>
          <w:color w:val="1F4E79" w:themeColor="accent1" w:themeShade="80"/>
          <w:sz w:val="22"/>
          <w:szCs w:val="22"/>
        </w:rPr>
        <w:t xml:space="preserve">μη αποδοτικές </w:t>
      </w:r>
      <w:r>
        <w:rPr>
          <w:rFonts w:ascii="Calibri" w:hAnsi="Calibri" w:cs="Calibri"/>
          <w:color w:val="1F4E79" w:themeColor="accent1" w:themeShade="80"/>
          <w:sz w:val="22"/>
          <w:szCs w:val="22"/>
        </w:rPr>
        <w:t xml:space="preserve">αλλαγές που θα αυξήσουν το κόστος, όπως η αύξηση του </w:t>
      </w:r>
      <w:r>
        <w:rPr>
          <w:rFonts w:ascii="Calibri" w:hAnsi="Calibri" w:cs="Calibri"/>
          <w:color w:val="1F4E79" w:themeColor="accent1" w:themeShade="80"/>
          <w:sz w:val="22"/>
          <w:szCs w:val="22"/>
          <w:lang w:val="en-US"/>
        </w:rPr>
        <w:t>splitting</w:t>
      </w:r>
      <w:r w:rsidRPr="00DA5EF3">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ratio</w:t>
      </w:r>
      <w:r>
        <w:rPr>
          <w:rFonts w:ascii="Calibri" w:hAnsi="Calibri" w:cs="Calibri"/>
          <w:color w:val="1F4E79" w:themeColor="accent1" w:themeShade="80"/>
          <w:sz w:val="22"/>
          <w:szCs w:val="22"/>
        </w:rPr>
        <w:t xml:space="preserve"> σε 1:32</w:t>
      </w:r>
      <w:r w:rsidR="00C9115A">
        <w:rPr>
          <w:rFonts w:ascii="Calibri" w:hAnsi="Calibri" w:cs="Calibri"/>
          <w:color w:val="1F4E79" w:themeColor="accent1" w:themeShade="80"/>
          <w:sz w:val="22"/>
          <w:szCs w:val="22"/>
        </w:rPr>
        <w:t xml:space="preserve">, ούτε τις προτάσεις που δεν είναι ρεαλιστικά αποδοτικές, όπως η χρήση ενός </w:t>
      </w:r>
      <w:r w:rsidR="00C9115A">
        <w:rPr>
          <w:rFonts w:ascii="Calibri" w:hAnsi="Calibri" w:cs="Calibri"/>
          <w:color w:val="1F4E79" w:themeColor="accent1" w:themeShade="80"/>
          <w:sz w:val="22"/>
          <w:szCs w:val="22"/>
          <w:lang w:val="en-US"/>
        </w:rPr>
        <w:t>splitter</w:t>
      </w:r>
      <w:r w:rsidR="00C9115A" w:rsidRPr="00C9115A">
        <w:rPr>
          <w:rFonts w:ascii="Calibri" w:hAnsi="Calibri" w:cs="Calibri"/>
          <w:color w:val="1F4E79" w:themeColor="accent1" w:themeShade="80"/>
          <w:sz w:val="22"/>
          <w:szCs w:val="22"/>
        </w:rPr>
        <w:t xml:space="preserve"> </w:t>
      </w:r>
      <w:r w:rsidR="00C9115A">
        <w:rPr>
          <w:rFonts w:ascii="Calibri" w:hAnsi="Calibri" w:cs="Calibri"/>
          <w:color w:val="1F4E79" w:themeColor="accent1" w:themeShade="80"/>
          <w:sz w:val="22"/>
          <w:szCs w:val="22"/>
        </w:rPr>
        <w:t>για εκατοντάδες κτίρια.</w:t>
      </w:r>
    </w:p>
    <w:p w14:paraId="2E9CB372" w14:textId="54690CAB" w:rsidR="00885865" w:rsidRPr="007267C7" w:rsidRDefault="007267C7" w:rsidP="00D97C90">
      <w:pPr>
        <w:pStyle w:val="Default"/>
        <w:spacing w:before="140" w:after="120"/>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Επισημαίνεται ότι </w:t>
      </w:r>
      <w:r w:rsidRPr="007267C7">
        <w:rPr>
          <w:rFonts w:ascii="Calibri" w:hAnsi="Calibri" w:cs="Calibri"/>
          <w:color w:val="1F4E79" w:themeColor="accent1" w:themeShade="80"/>
          <w:sz w:val="22"/>
          <w:szCs w:val="22"/>
        </w:rPr>
        <w:t xml:space="preserve">οι καμπίνες FTTH είναι πλήρως εξοπλισμένες με </w:t>
      </w:r>
      <w:proofErr w:type="spellStart"/>
      <w:r w:rsidRPr="007267C7">
        <w:rPr>
          <w:rFonts w:ascii="Calibri" w:hAnsi="Calibri" w:cs="Calibri"/>
          <w:color w:val="1F4E79" w:themeColor="accent1" w:themeShade="80"/>
          <w:sz w:val="22"/>
          <w:szCs w:val="22"/>
        </w:rPr>
        <w:t>splitters</w:t>
      </w:r>
      <w:proofErr w:type="spellEnd"/>
      <w:r w:rsidRPr="007267C7">
        <w:rPr>
          <w:rFonts w:ascii="Calibri" w:hAnsi="Calibri" w:cs="Calibri"/>
          <w:color w:val="1F4E79" w:themeColor="accent1" w:themeShade="80"/>
          <w:sz w:val="22"/>
          <w:szCs w:val="22"/>
        </w:rPr>
        <w:t xml:space="preserve"> 1:8</w:t>
      </w:r>
      <w:r>
        <w:rPr>
          <w:rFonts w:ascii="Calibri" w:hAnsi="Calibri" w:cs="Calibri"/>
          <w:color w:val="1F4E79" w:themeColor="accent1" w:themeShade="80"/>
          <w:sz w:val="22"/>
          <w:szCs w:val="22"/>
        </w:rPr>
        <w:t xml:space="preserve"> </w:t>
      </w:r>
      <w:r w:rsidRPr="007267C7">
        <w:rPr>
          <w:rFonts w:ascii="Calibri" w:hAnsi="Calibri" w:cs="Calibri"/>
          <w:color w:val="1F4E79" w:themeColor="accent1" w:themeShade="80"/>
          <w:sz w:val="22"/>
          <w:szCs w:val="22"/>
        </w:rPr>
        <w:t xml:space="preserve">(συμπεριλαμβάνονται στο μοναδιαίο κόστος της καμπίνας) και στο μοντέλο υπολογίζονται οι επιπλέον </w:t>
      </w:r>
      <w:proofErr w:type="spellStart"/>
      <w:r w:rsidRPr="007267C7">
        <w:rPr>
          <w:rFonts w:ascii="Calibri" w:hAnsi="Calibri" w:cs="Calibri"/>
          <w:color w:val="1F4E79" w:themeColor="accent1" w:themeShade="80"/>
          <w:sz w:val="22"/>
          <w:szCs w:val="22"/>
        </w:rPr>
        <w:t>splitters</w:t>
      </w:r>
      <w:proofErr w:type="spellEnd"/>
      <w:r w:rsidRPr="007267C7">
        <w:rPr>
          <w:rFonts w:ascii="Calibri" w:hAnsi="Calibri" w:cs="Calibri"/>
          <w:color w:val="1F4E79" w:themeColor="accent1" w:themeShade="80"/>
          <w:sz w:val="22"/>
          <w:szCs w:val="22"/>
        </w:rPr>
        <w:t xml:space="preserve"> (κατά μέσο όρο 1:8) που απαιτούνται για την επίτευξη του συνολικού </w:t>
      </w:r>
      <w:proofErr w:type="spellStart"/>
      <w:r w:rsidRPr="007267C7">
        <w:rPr>
          <w:rFonts w:ascii="Calibri" w:hAnsi="Calibri" w:cs="Calibri"/>
          <w:color w:val="1F4E79" w:themeColor="accent1" w:themeShade="80"/>
          <w:sz w:val="22"/>
          <w:szCs w:val="22"/>
        </w:rPr>
        <w:t>splitting</w:t>
      </w:r>
      <w:proofErr w:type="spellEnd"/>
      <w:r w:rsidRPr="007267C7">
        <w:rPr>
          <w:rFonts w:ascii="Calibri" w:hAnsi="Calibri" w:cs="Calibri"/>
          <w:color w:val="1F4E79" w:themeColor="accent1" w:themeShade="80"/>
          <w:sz w:val="22"/>
          <w:szCs w:val="22"/>
        </w:rPr>
        <w:t xml:space="preserve"> </w:t>
      </w:r>
      <w:proofErr w:type="spellStart"/>
      <w:r w:rsidRPr="007267C7">
        <w:rPr>
          <w:rFonts w:ascii="Calibri" w:hAnsi="Calibri" w:cs="Calibri"/>
          <w:color w:val="1F4E79" w:themeColor="accent1" w:themeShade="80"/>
          <w:sz w:val="22"/>
          <w:szCs w:val="22"/>
        </w:rPr>
        <w:t>ratio</w:t>
      </w:r>
      <w:proofErr w:type="spellEnd"/>
      <w:r w:rsidRPr="007267C7">
        <w:rPr>
          <w:rFonts w:ascii="Calibri" w:hAnsi="Calibri" w:cs="Calibri"/>
          <w:color w:val="1F4E79" w:themeColor="accent1" w:themeShade="80"/>
          <w:sz w:val="22"/>
          <w:szCs w:val="22"/>
        </w:rPr>
        <w:t xml:space="preserve"> 1:64, δηλαδή κατά μέσο όρο έναν επιπλέον </w:t>
      </w:r>
      <w:proofErr w:type="spellStart"/>
      <w:r w:rsidRPr="007267C7">
        <w:rPr>
          <w:rFonts w:ascii="Calibri" w:hAnsi="Calibri" w:cs="Calibri"/>
          <w:color w:val="1F4E79" w:themeColor="accent1" w:themeShade="80"/>
          <w:sz w:val="22"/>
          <w:szCs w:val="22"/>
        </w:rPr>
        <w:t>splitter</w:t>
      </w:r>
      <w:proofErr w:type="spellEnd"/>
      <w:r w:rsidRPr="007267C7">
        <w:rPr>
          <w:rFonts w:ascii="Calibri" w:hAnsi="Calibri" w:cs="Calibri"/>
          <w:color w:val="1F4E79" w:themeColor="accent1" w:themeShade="80"/>
          <w:sz w:val="22"/>
          <w:szCs w:val="22"/>
        </w:rPr>
        <w:t xml:space="preserve"> ανά πολυκατοικία και έναν ανά 8 μονοκατοικίες.</w:t>
      </w:r>
      <w:r>
        <w:rPr>
          <w:rFonts w:ascii="Calibri" w:hAnsi="Calibri" w:cs="Calibri"/>
          <w:color w:val="1F4E79" w:themeColor="accent1" w:themeShade="80"/>
          <w:sz w:val="22"/>
          <w:szCs w:val="22"/>
        </w:rPr>
        <w:t xml:space="preserve"> Επομένως, η ΕΕΤΤ λαμβάνοντας υπόψη το σχόλιο ενός συμμετέχοντα, θα διορθώσει τον αντίστοιχο υπολογισμό των </w:t>
      </w:r>
      <w:r>
        <w:rPr>
          <w:rFonts w:ascii="Calibri" w:hAnsi="Calibri" w:cs="Calibri"/>
          <w:color w:val="1F4E79" w:themeColor="accent1" w:themeShade="80"/>
          <w:sz w:val="22"/>
          <w:szCs w:val="22"/>
          <w:lang w:val="en-US"/>
        </w:rPr>
        <w:t>splitter</w:t>
      </w:r>
      <w:r>
        <w:rPr>
          <w:rFonts w:ascii="Calibri" w:hAnsi="Calibri" w:cs="Calibri"/>
          <w:color w:val="1F4E79" w:themeColor="accent1" w:themeShade="80"/>
          <w:sz w:val="22"/>
          <w:szCs w:val="22"/>
        </w:rPr>
        <w:t>,</w:t>
      </w:r>
      <w:r w:rsidRPr="007267C7">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ώστε να υπολογίζεται 1 </w:t>
      </w:r>
      <w:r>
        <w:rPr>
          <w:rFonts w:ascii="Calibri" w:hAnsi="Calibri" w:cs="Calibri"/>
          <w:color w:val="1F4E79" w:themeColor="accent1" w:themeShade="80"/>
          <w:sz w:val="22"/>
          <w:szCs w:val="22"/>
          <w:lang w:val="en-US"/>
        </w:rPr>
        <w:t>splitter</w:t>
      </w:r>
      <w:r w:rsidRPr="007267C7">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ανά 8 μονοκατοικίες αντί για 4. </w:t>
      </w:r>
    </w:p>
    <w:p w14:paraId="5C615FD2" w14:textId="5D1BBE9E" w:rsidR="00D97C90" w:rsidRPr="0066490C" w:rsidRDefault="00C9115A" w:rsidP="00D97C90">
      <w:pPr>
        <w:pStyle w:val="Default"/>
        <w:spacing w:before="140" w:after="120"/>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Αναφορικά με τη χρήση καρτών </w:t>
      </w:r>
      <w:r>
        <w:rPr>
          <w:rFonts w:ascii="Calibri" w:hAnsi="Calibri" w:cs="Calibri"/>
          <w:color w:val="1F4E79" w:themeColor="accent1" w:themeShade="80"/>
          <w:sz w:val="22"/>
          <w:szCs w:val="22"/>
          <w:lang w:val="en-US"/>
        </w:rPr>
        <w:t>XGSPON</w:t>
      </w:r>
      <w:r>
        <w:rPr>
          <w:rFonts w:ascii="Calibri" w:hAnsi="Calibri" w:cs="Calibri"/>
          <w:color w:val="1F4E79" w:themeColor="accent1" w:themeShade="80"/>
          <w:sz w:val="22"/>
          <w:szCs w:val="22"/>
        </w:rPr>
        <w:t xml:space="preserve"> στα </w:t>
      </w:r>
      <w:r>
        <w:rPr>
          <w:rFonts w:ascii="Calibri" w:hAnsi="Calibri" w:cs="Calibri"/>
          <w:color w:val="1F4E79" w:themeColor="accent1" w:themeShade="80"/>
          <w:sz w:val="22"/>
          <w:szCs w:val="22"/>
          <w:lang w:val="en-US"/>
        </w:rPr>
        <w:t>OLTs</w:t>
      </w:r>
      <w:r w:rsidRPr="00C9115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από το πρώτο έτος υλοποίησης, η χρήση τους θεωρήθηκε επιβεβλημένη δεδομένης της μοντελοποίησης πανελλαδικού δικτύου </w:t>
      </w:r>
      <w:r>
        <w:rPr>
          <w:rFonts w:ascii="Calibri" w:hAnsi="Calibri" w:cs="Calibri"/>
          <w:color w:val="1F4E79" w:themeColor="accent1" w:themeShade="80"/>
          <w:sz w:val="22"/>
          <w:szCs w:val="22"/>
          <w:lang w:val="en-US"/>
        </w:rPr>
        <w:t>FTTH</w:t>
      </w:r>
      <w:r>
        <w:rPr>
          <w:rFonts w:ascii="Calibri" w:hAnsi="Calibri" w:cs="Calibri"/>
          <w:color w:val="1F4E79" w:themeColor="accent1" w:themeShade="80"/>
          <w:sz w:val="22"/>
          <w:szCs w:val="22"/>
        </w:rPr>
        <w:t xml:space="preserve"> και του επιλεγμένου </w:t>
      </w:r>
      <w:r>
        <w:rPr>
          <w:rFonts w:ascii="Calibri" w:hAnsi="Calibri" w:cs="Calibri"/>
          <w:color w:val="1F4E79" w:themeColor="accent1" w:themeShade="80"/>
          <w:sz w:val="22"/>
          <w:szCs w:val="22"/>
          <w:lang w:val="en-US"/>
        </w:rPr>
        <w:t>splitting</w:t>
      </w:r>
      <w:r w:rsidRPr="00C9115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ratio</w:t>
      </w:r>
      <w:r>
        <w:rPr>
          <w:rFonts w:ascii="Calibri" w:hAnsi="Calibri" w:cs="Calibri"/>
          <w:color w:val="1F4E79" w:themeColor="accent1" w:themeShade="80"/>
          <w:sz w:val="22"/>
          <w:szCs w:val="22"/>
        </w:rPr>
        <w:t xml:space="preserve">, καθώς η χρήση απλών </w:t>
      </w:r>
      <w:r>
        <w:rPr>
          <w:rFonts w:ascii="Calibri" w:hAnsi="Calibri" w:cs="Calibri"/>
          <w:color w:val="1F4E79" w:themeColor="accent1" w:themeShade="80"/>
          <w:sz w:val="22"/>
          <w:szCs w:val="22"/>
          <w:lang w:val="en-US"/>
        </w:rPr>
        <w:t>GPON</w:t>
      </w:r>
      <w:r>
        <w:rPr>
          <w:rFonts w:ascii="Calibri" w:hAnsi="Calibri" w:cs="Calibri"/>
          <w:color w:val="1F4E79" w:themeColor="accent1" w:themeShade="80"/>
          <w:sz w:val="22"/>
          <w:szCs w:val="22"/>
        </w:rPr>
        <w:t xml:space="preserve"> καρτών θα οδηγούσε σε αντικατάστασή τους πριν αυτές αποσβεστούν πλήρως αυξάνοντας τελικά το κόστος υπηρεσίας. Τυχόν αναβαθμίσεις σε 25</w:t>
      </w:r>
      <w:r>
        <w:rPr>
          <w:rFonts w:ascii="Calibri" w:hAnsi="Calibri" w:cs="Calibri"/>
          <w:color w:val="1F4E79" w:themeColor="accent1" w:themeShade="80"/>
          <w:sz w:val="22"/>
          <w:szCs w:val="22"/>
          <w:lang w:val="en-US"/>
        </w:rPr>
        <w:t>G</w:t>
      </w:r>
      <w:r w:rsidRPr="00C9115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κάρτες δεν αναμένεται να πραγματοποιηθούν εκτεταμένα πριν την επόμενη επικαιροποίηση του μοντέλου. </w:t>
      </w:r>
    </w:p>
    <w:p w14:paraId="07573A2A" w14:textId="71EDE6A8" w:rsidR="002F37C2" w:rsidRDefault="00C30151" w:rsidP="00D97C90">
      <w:pPr>
        <w:pStyle w:val="Default"/>
        <w:spacing w:before="140" w:after="120"/>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Αναφορικά με </w:t>
      </w:r>
      <w:r w:rsidR="00C9115A">
        <w:rPr>
          <w:rFonts w:ascii="Calibri" w:hAnsi="Calibri" w:cs="Calibri"/>
          <w:color w:val="1F4E79" w:themeColor="accent1" w:themeShade="80"/>
          <w:sz w:val="22"/>
          <w:szCs w:val="22"/>
        </w:rPr>
        <w:t xml:space="preserve">το σχόλιο ενός συμμετέχοντα για χρήση και φθηνότερων </w:t>
      </w:r>
      <w:r w:rsidR="00C9115A">
        <w:rPr>
          <w:rFonts w:ascii="Calibri" w:hAnsi="Calibri" w:cs="Calibri"/>
          <w:color w:val="1F4E79" w:themeColor="accent1" w:themeShade="80"/>
          <w:sz w:val="22"/>
          <w:szCs w:val="22"/>
          <w:lang w:val="en-US"/>
        </w:rPr>
        <w:t>OLTs</w:t>
      </w:r>
      <w:r w:rsidR="00C9115A" w:rsidRPr="00C9115A">
        <w:rPr>
          <w:rFonts w:ascii="Calibri" w:hAnsi="Calibri" w:cs="Calibri"/>
          <w:color w:val="1F4E79" w:themeColor="accent1" w:themeShade="80"/>
          <w:sz w:val="22"/>
          <w:szCs w:val="22"/>
        </w:rPr>
        <w:t xml:space="preserve"> </w:t>
      </w:r>
      <w:r w:rsidR="00C9115A">
        <w:rPr>
          <w:rFonts w:ascii="Calibri" w:hAnsi="Calibri" w:cs="Calibri"/>
          <w:color w:val="1F4E79" w:themeColor="accent1" w:themeShade="80"/>
          <w:sz w:val="22"/>
          <w:szCs w:val="22"/>
        </w:rPr>
        <w:t>μικρότερης χωρητικότητας σε πλήθος καρτών, η ΕΕΤΤ κρίνει την πρό</w:t>
      </w:r>
      <w:r w:rsidR="002F37C2">
        <w:rPr>
          <w:rFonts w:ascii="Calibri" w:hAnsi="Calibri" w:cs="Calibri"/>
          <w:color w:val="1F4E79" w:themeColor="accent1" w:themeShade="80"/>
          <w:sz w:val="22"/>
          <w:szCs w:val="22"/>
        </w:rPr>
        <w:t>ταση ως εύλογη και αποδοτική και θα προχωρήσει στην προσθήκη τους στο μοντέλο.</w:t>
      </w:r>
    </w:p>
    <w:p w14:paraId="3B92CD69" w14:textId="510C17A2" w:rsidR="00C9115A" w:rsidRPr="00C9115A" w:rsidRDefault="002F37C2" w:rsidP="00D97C90">
      <w:pPr>
        <w:pStyle w:val="Default"/>
        <w:spacing w:before="140" w:after="120"/>
        <w:rPr>
          <w:rFonts w:ascii="Calibri" w:hAnsi="Calibri" w:cs="Calibri"/>
          <w:sz w:val="22"/>
          <w:szCs w:val="22"/>
        </w:rPr>
      </w:pPr>
      <w:r>
        <w:rPr>
          <w:rFonts w:ascii="Calibri" w:hAnsi="Calibri" w:cs="Calibri"/>
          <w:color w:val="1F4E79" w:themeColor="accent1" w:themeShade="80"/>
          <w:sz w:val="22"/>
          <w:szCs w:val="22"/>
        </w:rPr>
        <w:t xml:space="preserve">Τέλος, η ΕΕΤΤ εμμένει στη θέση της σχετικά με τη διαστασιοποίηση των δρομολογητών και το ποσοστό εφεδρείας, η οποία βασίστηκε στα πραγματικά στοιχεία και την εικόνα του δικτύου των παρόχων κρίνοντας ότι δεν μπορεί να μειωθεί στο πλαίσιο της θεωρητικής αποδοτικότητας. </w:t>
      </w:r>
      <w:r w:rsidR="007D2E37">
        <w:rPr>
          <w:rFonts w:ascii="Calibri" w:hAnsi="Calibri" w:cs="Calibri"/>
          <w:color w:val="1F4E79" w:themeColor="accent1" w:themeShade="80"/>
          <w:sz w:val="22"/>
          <w:szCs w:val="22"/>
        </w:rPr>
        <w:t>Ομοίως και για την επαναχρησιμοποίηση και τις αποσβέσει</w:t>
      </w:r>
      <w:r w:rsidR="00C30151">
        <w:rPr>
          <w:rFonts w:ascii="Calibri" w:hAnsi="Calibri" w:cs="Calibri"/>
          <w:color w:val="1F4E79" w:themeColor="accent1" w:themeShade="80"/>
          <w:sz w:val="22"/>
          <w:szCs w:val="22"/>
        </w:rPr>
        <w:t>ς</w:t>
      </w:r>
      <w:r w:rsidR="007D2E37">
        <w:rPr>
          <w:rFonts w:ascii="Calibri" w:hAnsi="Calibri" w:cs="Calibri"/>
          <w:color w:val="1F4E79" w:themeColor="accent1" w:themeShade="80"/>
          <w:sz w:val="22"/>
          <w:szCs w:val="22"/>
        </w:rPr>
        <w:t>, η ΕΕΤΤ εμμένει στη θέση της βάσει του κειμένου Αρχών</w:t>
      </w:r>
      <w:r w:rsidR="004C25B3">
        <w:rPr>
          <w:rFonts w:ascii="Calibri" w:hAnsi="Calibri" w:cs="Calibri"/>
          <w:color w:val="1F4E79" w:themeColor="accent1" w:themeShade="80"/>
          <w:sz w:val="22"/>
          <w:szCs w:val="22"/>
        </w:rPr>
        <w:t>,</w:t>
      </w:r>
      <w:r w:rsidR="007D2E37">
        <w:rPr>
          <w:rFonts w:ascii="Calibri" w:hAnsi="Calibri" w:cs="Calibri"/>
          <w:color w:val="1F4E79" w:themeColor="accent1" w:themeShade="80"/>
          <w:sz w:val="22"/>
          <w:szCs w:val="22"/>
        </w:rPr>
        <w:t xml:space="preserve"> όπως </w:t>
      </w:r>
      <w:r w:rsidR="004C25B3">
        <w:rPr>
          <w:rFonts w:ascii="Calibri" w:hAnsi="Calibri" w:cs="Calibri"/>
          <w:color w:val="1F4E79" w:themeColor="accent1" w:themeShade="80"/>
          <w:sz w:val="22"/>
          <w:szCs w:val="22"/>
        </w:rPr>
        <w:t xml:space="preserve">διαμορφώθηκε </w:t>
      </w:r>
      <w:r w:rsidR="007D2E37">
        <w:rPr>
          <w:rFonts w:ascii="Calibri" w:hAnsi="Calibri" w:cs="Calibri"/>
          <w:color w:val="1F4E79" w:themeColor="accent1" w:themeShade="80"/>
          <w:sz w:val="22"/>
          <w:szCs w:val="22"/>
        </w:rPr>
        <w:t>μετά την αντίστοιχη Δημόσια Διαβούλευση.</w:t>
      </w:r>
    </w:p>
    <w:p w14:paraId="3E78A052" w14:textId="77777777" w:rsidR="007B6FC8" w:rsidRPr="00063071" w:rsidRDefault="007B6FC8" w:rsidP="00D97C90">
      <w:pPr>
        <w:pStyle w:val="Default"/>
        <w:spacing w:before="140" w:after="120"/>
        <w:rPr>
          <w:rFonts w:ascii="Calibri" w:hAnsi="Calibri" w:cs="Calibri"/>
          <w:sz w:val="22"/>
          <w:szCs w:val="22"/>
        </w:rPr>
      </w:pPr>
    </w:p>
    <w:p w14:paraId="59E55CB4" w14:textId="36EB8C13" w:rsidR="00A748A3" w:rsidRPr="005258C8" w:rsidRDefault="00A748A3" w:rsidP="00392B3A">
      <w:pPr>
        <w:pStyle w:val="2"/>
        <w:keepNext w:val="0"/>
        <w:widowControl w:val="0"/>
        <w:numPr>
          <w:ilvl w:val="1"/>
          <w:numId w:val="6"/>
        </w:numPr>
        <w:tabs>
          <w:tab w:val="left" w:pos="722"/>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rPr>
        <w:t>Επαναχρησιμοποίηση έργων υποδομής</w:t>
      </w:r>
    </w:p>
    <w:p w14:paraId="0582D11F" w14:textId="6432468F" w:rsidR="00A748A3" w:rsidRDefault="00A748A3" w:rsidP="004014AE">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διαφωνεί με τον </w:t>
      </w:r>
      <w:r w:rsidRPr="00A748A3">
        <w:rPr>
          <w:rFonts w:ascii="Calibri" w:hAnsi="Calibri" w:cs="Calibri"/>
          <w:sz w:val="22"/>
          <w:szCs w:val="22"/>
        </w:rPr>
        <w:t xml:space="preserve">τρόπο με τον οποίο η ΕΕΤΤ υπολογίζει την επαναχρησιμοποίηση έργων υποδομής (χαντακιών) μεταξύ των τμημάτων </w:t>
      </w:r>
      <w:proofErr w:type="spellStart"/>
      <w:r w:rsidRPr="00A748A3">
        <w:rPr>
          <w:rFonts w:ascii="Calibri" w:hAnsi="Calibri" w:cs="Calibri"/>
          <w:sz w:val="22"/>
          <w:szCs w:val="22"/>
        </w:rPr>
        <w:t>Feeder</w:t>
      </w:r>
      <w:proofErr w:type="spellEnd"/>
      <w:r w:rsidRPr="00A748A3">
        <w:rPr>
          <w:rFonts w:ascii="Calibri" w:hAnsi="Calibri" w:cs="Calibri"/>
          <w:sz w:val="22"/>
          <w:szCs w:val="22"/>
        </w:rPr>
        <w:t xml:space="preserve">, </w:t>
      </w:r>
      <w:proofErr w:type="spellStart"/>
      <w:r w:rsidRPr="00A748A3">
        <w:rPr>
          <w:rFonts w:ascii="Calibri" w:hAnsi="Calibri" w:cs="Calibri"/>
          <w:sz w:val="22"/>
          <w:szCs w:val="22"/>
        </w:rPr>
        <w:t>Distribution</w:t>
      </w:r>
      <w:proofErr w:type="spellEnd"/>
      <w:r w:rsidRPr="00A748A3">
        <w:rPr>
          <w:rFonts w:ascii="Calibri" w:hAnsi="Calibri" w:cs="Calibri"/>
          <w:sz w:val="22"/>
          <w:szCs w:val="22"/>
        </w:rPr>
        <w:t xml:space="preserve"> και </w:t>
      </w:r>
      <w:proofErr w:type="spellStart"/>
      <w:r w:rsidRPr="00A748A3">
        <w:rPr>
          <w:rFonts w:ascii="Calibri" w:hAnsi="Calibri" w:cs="Calibri"/>
          <w:sz w:val="22"/>
          <w:szCs w:val="22"/>
        </w:rPr>
        <w:t>Core</w:t>
      </w:r>
      <w:proofErr w:type="spellEnd"/>
      <w:r w:rsidRPr="00A748A3">
        <w:rPr>
          <w:rFonts w:ascii="Calibri" w:hAnsi="Calibri" w:cs="Calibri"/>
          <w:sz w:val="22"/>
          <w:szCs w:val="22"/>
        </w:rPr>
        <w:t xml:space="preserve"> στα δίκτυα FTTH και χαλκού</w:t>
      </w:r>
      <w:r>
        <w:rPr>
          <w:rFonts w:ascii="Calibri" w:hAnsi="Calibri" w:cs="Calibri"/>
          <w:sz w:val="22"/>
          <w:szCs w:val="22"/>
        </w:rPr>
        <w:t>, υποστηρίζοντας</w:t>
      </w:r>
      <w:r w:rsidRPr="00A748A3">
        <w:rPr>
          <w:rFonts w:ascii="Calibri" w:hAnsi="Calibri" w:cs="Calibri"/>
          <w:sz w:val="22"/>
          <w:szCs w:val="22"/>
        </w:rPr>
        <w:t xml:space="preserve"> ότι το κοινό χαντάκι πρέπει να λογίζεται ως χαντάκι </w:t>
      </w:r>
      <w:proofErr w:type="spellStart"/>
      <w:r w:rsidRPr="00A748A3">
        <w:rPr>
          <w:rFonts w:ascii="Calibri" w:hAnsi="Calibri" w:cs="Calibri"/>
          <w:sz w:val="22"/>
          <w:szCs w:val="22"/>
        </w:rPr>
        <w:t>Distribution</w:t>
      </w:r>
      <w:proofErr w:type="spellEnd"/>
      <w:r w:rsidRPr="00A748A3">
        <w:rPr>
          <w:rFonts w:ascii="Calibri" w:hAnsi="Calibri" w:cs="Calibri"/>
          <w:sz w:val="22"/>
          <w:szCs w:val="22"/>
        </w:rPr>
        <w:t xml:space="preserve">, το οποίο είναι τεχνικά πιο απαιτητικό και ακριβότερο, καθώς περιλαμβάνει περισσότερους σωλήνες και </w:t>
      </w:r>
      <w:proofErr w:type="spellStart"/>
      <w:r w:rsidRPr="00A748A3">
        <w:rPr>
          <w:rFonts w:ascii="Calibri" w:hAnsi="Calibri" w:cs="Calibri"/>
          <w:sz w:val="22"/>
          <w:szCs w:val="22"/>
        </w:rPr>
        <w:t>μικροσωληνίσκους</w:t>
      </w:r>
      <w:proofErr w:type="spellEnd"/>
      <w:r w:rsidRPr="00A748A3">
        <w:rPr>
          <w:rFonts w:ascii="Calibri" w:hAnsi="Calibri" w:cs="Calibri"/>
          <w:sz w:val="22"/>
          <w:szCs w:val="22"/>
        </w:rPr>
        <w:t>. Επισημαίνει επίσης ασυνέπειες στις τιμές κόστους (</w:t>
      </w:r>
      <w:proofErr w:type="spellStart"/>
      <w:r w:rsidRPr="00A748A3">
        <w:rPr>
          <w:rFonts w:ascii="Calibri" w:hAnsi="Calibri" w:cs="Calibri"/>
          <w:sz w:val="22"/>
          <w:szCs w:val="22"/>
        </w:rPr>
        <w:t>Feeder</w:t>
      </w:r>
      <w:proofErr w:type="spellEnd"/>
      <w:r w:rsidRPr="00A748A3">
        <w:rPr>
          <w:rFonts w:ascii="Calibri" w:hAnsi="Calibri" w:cs="Calibri"/>
          <w:sz w:val="22"/>
          <w:szCs w:val="22"/>
        </w:rPr>
        <w:t xml:space="preserve"> 20€/μ έναντι </w:t>
      </w:r>
      <w:proofErr w:type="spellStart"/>
      <w:r w:rsidRPr="00A748A3">
        <w:rPr>
          <w:rFonts w:ascii="Calibri" w:hAnsi="Calibri" w:cs="Calibri"/>
          <w:sz w:val="22"/>
          <w:szCs w:val="22"/>
        </w:rPr>
        <w:t>Distribution</w:t>
      </w:r>
      <w:proofErr w:type="spellEnd"/>
      <w:r w:rsidRPr="00A748A3">
        <w:rPr>
          <w:rFonts w:ascii="Calibri" w:hAnsi="Calibri" w:cs="Calibri"/>
          <w:sz w:val="22"/>
          <w:szCs w:val="22"/>
        </w:rPr>
        <w:t xml:space="preserve"> 17€/μ) </w:t>
      </w:r>
      <w:r w:rsidRPr="00A748A3">
        <w:rPr>
          <w:rFonts w:ascii="Calibri" w:hAnsi="Calibri" w:cs="Calibri"/>
          <w:sz w:val="22"/>
          <w:szCs w:val="22"/>
        </w:rPr>
        <w:lastRenderedPageBreak/>
        <w:t xml:space="preserve">και </w:t>
      </w:r>
      <w:r>
        <w:rPr>
          <w:rFonts w:ascii="Calibri" w:hAnsi="Calibri" w:cs="Calibri"/>
          <w:sz w:val="22"/>
          <w:szCs w:val="22"/>
        </w:rPr>
        <w:t xml:space="preserve">διαφωνεί με τον επιμερισμό </w:t>
      </w:r>
      <w:r w:rsidRPr="00A748A3">
        <w:rPr>
          <w:rFonts w:ascii="Calibri" w:hAnsi="Calibri" w:cs="Calibri"/>
          <w:sz w:val="22"/>
          <w:szCs w:val="22"/>
        </w:rPr>
        <w:t>όλο</w:t>
      </w:r>
      <w:r>
        <w:rPr>
          <w:rFonts w:ascii="Calibri" w:hAnsi="Calibri" w:cs="Calibri"/>
          <w:sz w:val="22"/>
          <w:szCs w:val="22"/>
        </w:rPr>
        <w:t>υ</w:t>
      </w:r>
      <w:r w:rsidRPr="00A748A3">
        <w:rPr>
          <w:rFonts w:ascii="Calibri" w:hAnsi="Calibri" w:cs="Calibri"/>
          <w:sz w:val="22"/>
          <w:szCs w:val="22"/>
        </w:rPr>
        <w:t xml:space="preserve"> το</w:t>
      </w:r>
      <w:r>
        <w:rPr>
          <w:rFonts w:ascii="Calibri" w:hAnsi="Calibri" w:cs="Calibri"/>
          <w:sz w:val="22"/>
          <w:szCs w:val="22"/>
        </w:rPr>
        <w:t>υ</w:t>
      </w:r>
      <w:r w:rsidRPr="00A748A3">
        <w:rPr>
          <w:rFonts w:ascii="Calibri" w:hAnsi="Calibri" w:cs="Calibri"/>
          <w:sz w:val="22"/>
          <w:szCs w:val="22"/>
        </w:rPr>
        <w:t xml:space="preserve"> κοιν</w:t>
      </w:r>
      <w:r>
        <w:rPr>
          <w:rFonts w:ascii="Calibri" w:hAnsi="Calibri" w:cs="Calibri"/>
          <w:sz w:val="22"/>
          <w:szCs w:val="22"/>
        </w:rPr>
        <w:t>ού</w:t>
      </w:r>
      <w:r w:rsidRPr="00A748A3">
        <w:rPr>
          <w:rFonts w:ascii="Calibri" w:hAnsi="Calibri" w:cs="Calibri"/>
          <w:sz w:val="22"/>
          <w:szCs w:val="22"/>
        </w:rPr>
        <w:t xml:space="preserve"> μήκο</w:t>
      </w:r>
      <w:r>
        <w:rPr>
          <w:rFonts w:ascii="Calibri" w:hAnsi="Calibri" w:cs="Calibri"/>
          <w:sz w:val="22"/>
          <w:szCs w:val="22"/>
        </w:rPr>
        <w:t>υ</w:t>
      </w:r>
      <w:r w:rsidRPr="00A748A3">
        <w:rPr>
          <w:rFonts w:ascii="Calibri" w:hAnsi="Calibri" w:cs="Calibri"/>
          <w:sz w:val="22"/>
          <w:szCs w:val="22"/>
        </w:rPr>
        <w:t xml:space="preserve">ς όδευσης στο </w:t>
      </w:r>
      <w:proofErr w:type="spellStart"/>
      <w:r w:rsidRPr="00A748A3">
        <w:rPr>
          <w:rFonts w:ascii="Calibri" w:hAnsi="Calibri" w:cs="Calibri"/>
          <w:sz w:val="22"/>
          <w:szCs w:val="22"/>
        </w:rPr>
        <w:t>Feeder</w:t>
      </w:r>
      <w:proofErr w:type="spellEnd"/>
      <w:r w:rsidRPr="00A748A3">
        <w:rPr>
          <w:rFonts w:ascii="Calibri" w:hAnsi="Calibri" w:cs="Calibri"/>
          <w:sz w:val="22"/>
          <w:szCs w:val="22"/>
        </w:rPr>
        <w:t xml:space="preserve"> αντί να το μοιράζει μεταξύ των δύο δικτύων. Παράλληλα, θεωρεί τεχνικά αδύνατη τη χρήση κοινού χαντακιού μεταξύ </w:t>
      </w:r>
      <w:proofErr w:type="spellStart"/>
      <w:r w:rsidRPr="00A748A3">
        <w:rPr>
          <w:rFonts w:ascii="Calibri" w:hAnsi="Calibri" w:cs="Calibri"/>
          <w:sz w:val="22"/>
          <w:szCs w:val="22"/>
        </w:rPr>
        <w:t>Distribution</w:t>
      </w:r>
      <w:proofErr w:type="spellEnd"/>
      <w:r w:rsidRPr="00A748A3">
        <w:rPr>
          <w:rFonts w:ascii="Calibri" w:hAnsi="Calibri" w:cs="Calibri"/>
          <w:sz w:val="22"/>
          <w:szCs w:val="22"/>
        </w:rPr>
        <w:t xml:space="preserve"> και </w:t>
      </w:r>
      <w:proofErr w:type="spellStart"/>
      <w:r w:rsidRPr="00A748A3">
        <w:rPr>
          <w:rFonts w:ascii="Calibri" w:hAnsi="Calibri" w:cs="Calibri"/>
          <w:sz w:val="22"/>
          <w:szCs w:val="22"/>
        </w:rPr>
        <w:t>Core</w:t>
      </w:r>
      <w:proofErr w:type="spellEnd"/>
      <w:r w:rsidRPr="00A748A3">
        <w:rPr>
          <w:rFonts w:ascii="Calibri" w:hAnsi="Calibri" w:cs="Calibri"/>
          <w:sz w:val="22"/>
          <w:szCs w:val="22"/>
        </w:rPr>
        <w:t xml:space="preserve"> ή μεταξύ δικτύων FTTH και χαλκού. </w:t>
      </w:r>
    </w:p>
    <w:p w14:paraId="24EAC138" w14:textId="7E32DB14" w:rsidR="00141D39" w:rsidRDefault="00141D39" w:rsidP="004014AE">
      <w:pPr>
        <w:pStyle w:val="ab"/>
        <w:spacing w:before="143" w:line="259" w:lineRule="auto"/>
        <w:ind w:right="136"/>
        <w:rPr>
          <w:rFonts w:ascii="Calibri" w:hAnsi="Calibri" w:cs="Calibri"/>
          <w:sz w:val="22"/>
          <w:szCs w:val="22"/>
        </w:rPr>
      </w:pPr>
      <w:r>
        <w:rPr>
          <w:rFonts w:ascii="Calibri" w:hAnsi="Calibri" w:cs="Calibri"/>
          <w:sz w:val="22"/>
          <w:szCs w:val="22"/>
        </w:rPr>
        <w:t>Σε περίπτωση</w:t>
      </w:r>
      <w:r w:rsidRPr="00141D39">
        <w:rPr>
          <w:rFonts w:ascii="Calibri" w:hAnsi="Calibri" w:cs="Calibri"/>
          <w:sz w:val="22"/>
          <w:szCs w:val="22"/>
        </w:rPr>
        <w:t xml:space="preserve"> </w:t>
      </w:r>
      <w:r>
        <w:rPr>
          <w:rFonts w:ascii="Calibri" w:hAnsi="Calibri" w:cs="Calibri"/>
          <w:sz w:val="22"/>
          <w:szCs w:val="22"/>
        </w:rPr>
        <w:t>Α</w:t>
      </w:r>
      <w:r w:rsidR="00C57AB0">
        <w:rPr>
          <w:rFonts w:ascii="Calibri" w:hAnsi="Calibri" w:cs="Calibri"/>
          <w:sz w:val="22"/>
          <w:szCs w:val="22"/>
        </w:rPr>
        <w:t>/</w:t>
      </w:r>
      <w:r>
        <w:rPr>
          <w:rFonts w:ascii="Calibri" w:hAnsi="Calibri" w:cs="Calibri"/>
          <w:sz w:val="22"/>
          <w:szCs w:val="22"/>
        </w:rPr>
        <w:t>Κ όπου</w:t>
      </w:r>
      <w:r w:rsidRPr="00141D39">
        <w:rPr>
          <w:rFonts w:ascii="Calibri" w:hAnsi="Calibri" w:cs="Calibri"/>
          <w:sz w:val="22"/>
          <w:szCs w:val="22"/>
        </w:rPr>
        <w:t xml:space="preserve"> </w:t>
      </w:r>
      <w:r>
        <w:rPr>
          <w:rFonts w:ascii="Calibri" w:hAnsi="Calibri" w:cs="Calibri"/>
          <w:sz w:val="22"/>
          <w:szCs w:val="22"/>
        </w:rPr>
        <w:t xml:space="preserve">το δίκτυο </w:t>
      </w:r>
      <w:r w:rsidRPr="00141D39">
        <w:rPr>
          <w:rFonts w:ascii="Calibri" w:hAnsi="Calibri" w:cs="Calibri"/>
          <w:sz w:val="22"/>
          <w:szCs w:val="22"/>
        </w:rPr>
        <w:t xml:space="preserve">FTTC ή VHCN έχει αναπτυχθεί από άλλο πάροχο, δεν είναι εφικτή η κοινή χρήση υποδομών στο </w:t>
      </w:r>
      <w:proofErr w:type="spellStart"/>
      <w:r w:rsidRPr="00141D39">
        <w:rPr>
          <w:rFonts w:ascii="Calibri" w:hAnsi="Calibri" w:cs="Calibri"/>
          <w:sz w:val="22"/>
          <w:szCs w:val="22"/>
        </w:rPr>
        <w:t>Feeder</w:t>
      </w:r>
      <w:proofErr w:type="spellEnd"/>
      <w:r w:rsidRPr="00141D39">
        <w:rPr>
          <w:rFonts w:ascii="Calibri" w:hAnsi="Calibri" w:cs="Calibri"/>
          <w:sz w:val="22"/>
          <w:szCs w:val="22"/>
        </w:rPr>
        <w:t xml:space="preserve"> ή στο </w:t>
      </w:r>
      <w:proofErr w:type="spellStart"/>
      <w:r w:rsidRPr="00141D39">
        <w:rPr>
          <w:rFonts w:ascii="Calibri" w:hAnsi="Calibri" w:cs="Calibri"/>
          <w:sz w:val="22"/>
          <w:szCs w:val="22"/>
        </w:rPr>
        <w:t>Core</w:t>
      </w:r>
      <w:proofErr w:type="spellEnd"/>
      <w:r w:rsidRPr="00141D39">
        <w:rPr>
          <w:rFonts w:ascii="Calibri" w:hAnsi="Calibri" w:cs="Calibri"/>
          <w:sz w:val="22"/>
          <w:szCs w:val="22"/>
        </w:rPr>
        <w:t xml:space="preserve"> τμήμα, καθώς κάθε πάροχος κατασκευάζει και λειτουργεί ξεχωριστό δίκτυο, επομένως </w:t>
      </w:r>
      <w:r>
        <w:rPr>
          <w:rFonts w:ascii="Calibri" w:hAnsi="Calibri" w:cs="Calibri"/>
          <w:sz w:val="22"/>
          <w:szCs w:val="22"/>
        </w:rPr>
        <w:t>δεν θα πρέπει να λογίζεται</w:t>
      </w:r>
      <w:r w:rsidRPr="00141D39">
        <w:rPr>
          <w:rFonts w:ascii="Calibri" w:hAnsi="Calibri" w:cs="Calibri"/>
          <w:sz w:val="22"/>
          <w:szCs w:val="22"/>
        </w:rPr>
        <w:t xml:space="preserve"> επαναχρησιμοποίηση υποδομών σε αυτές τις περιπτώσεις.</w:t>
      </w:r>
    </w:p>
    <w:p w14:paraId="774180DF" w14:textId="6DAA33C2" w:rsidR="00CF67A0" w:rsidRPr="00CF67A0" w:rsidRDefault="00CF67A0" w:rsidP="00CF67A0">
      <w:pPr>
        <w:pStyle w:val="ab"/>
        <w:spacing w:before="143" w:line="259" w:lineRule="auto"/>
        <w:ind w:right="136"/>
        <w:rPr>
          <w:rFonts w:ascii="Calibri" w:hAnsi="Calibri" w:cs="Calibri"/>
          <w:sz w:val="22"/>
          <w:szCs w:val="22"/>
        </w:rPr>
      </w:pPr>
      <w:r w:rsidRPr="00CF67A0">
        <w:rPr>
          <w:rFonts w:ascii="Calibri" w:hAnsi="Calibri" w:cs="Calibri"/>
          <w:sz w:val="22"/>
          <w:szCs w:val="22"/>
        </w:rPr>
        <w:t xml:space="preserve">Ένας συμμετέχων </w:t>
      </w:r>
      <w:r w:rsidR="003C28FC">
        <w:rPr>
          <w:rFonts w:ascii="Calibri" w:hAnsi="Calibri" w:cs="Calibri"/>
          <w:sz w:val="22"/>
          <w:szCs w:val="22"/>
        </w:rPr>
        <w:t>(----)</w:t>
      </w:r>
      <w:r w:rsidRPr="00CF67A0">
        <w:rPr>
          <w:rFonts w:ascii="Calibri" w:hAnsi="Calibri" w:cs="Calibri"/>
          <w:sz w:val="22"/>
          <w:szCs w:val="22"/>
        </w:rPr>
        <w:t xml:space="preserve"> επισημαίνει ότι στην περίπτωση που ένας Πάροχος δεν έχει αναπτύξει Α/Κ τότε η επαναχρησιμοποίηση του δικτύου οδεύσεων FTTH και χαλκού θα αφορά στο τμήμα μεταξύ ενεργητικής και παθητικής καμπίνας.</w:t>
      </w:r>
    </w:p>
    <w:p w14:paraId="5D7E080C"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47078E7F" w14:textId="3B8F6387"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7D2E37">
        <w:rPr>
          <w:rFonts w:ascii="Calibri" w:hAnsi="Calibri" w:cs="Calibri"/>
          <w:b/>
          <w:color w:val="1F4E79" w:themeColor="accent1" w:themeShade="80"/>
          <w:sz w:val="22"/>
          <w:szCs w:val="22"/>
          <w:u w:val="single"/>
        </w:rPr>
        <w:t>9</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62BA0492" w14:textId="262E45D4" w:rsidR="00A748A3" w:rsidRPr="007D5E21" w:rsidRDefault="007D2E37" w:rsidP="004014AE">
      <w:pPr>
        <w:pStyle w:val="ab"/>
        <w:spacing w:before="143" w:line="259" w:lineRule="auto"/>
        <w:ind w:right="136"/>
        <w:rPr>
          <w:rFonts w:ascii="Calibri" w:hAnsi="Calibri" w:cs="Calibri"/>
          <w:sz w:val="22"/>
          <w:szCs w:val="22"/>
        </w:rPr>
      </w:pPr>
      <w:r>
        <w:rPr>
          <w:rFonts w:ascii="Calibri" w:hAnsi="Calibri" w:cs="Calibri"/>
          <w:color w:val="1F4E79" w:themeColor="accent1" w:themeShade="80"/>
          <w:sz w:val="22"/>
          <w:szCs w:val="22"/>
        </w:rPr>
        <w:t xml:space="preserve">Η ΕΕΤΤ επισημαίνει ότι δεν υφίσταται επαναχρησιμοποίηση στο </w:t>
      </w:r>
      <w:r w:rsidR="007D5E21">
        <w:rPr>
          <w:rFonts w:ascii="Calibri" w:hAnsi="Calibri" w:cs="Calibri"/>
          <w:color w:val="1F4E79" w:themeColor="accent1" w:themeShade="80"/>
          <w:sz w:val="22"/>
          <w:szCs w:val="22"/>
          <w:lang w:val="en-US"/>
        </w:rPr>
        <w:t>D</w:t>
      </w:r>
      <w:r>
        <w:rPr>
          <w:rFonts w:ascii="Calibri" w:hAnsi="Calibri" w:cs="Calibri"/>
          <w:color w:val="1F4E79" w:themeColor="accent1" w:themeShade="80"/>
          <w:sz w:val="22"/>
          <w:szCs w:val="22"/>
          <w:lang w:val="en-US"/>
        </w:rPr>
        <w:t>istribution</w:t>
      </w:r>
      <w:r>
        <w:rPr>
          <w:rFonts w:ascii="Calibri" w:hAnsi="Calibri" w:cs="Calibri"/>
          <w:color w:val="1F4E79" w:themeColor="accent1" w:themeShade="80"/>
          <w:sz w:val="22"/>
          <w:szCs w:val="22"/>
        </w:rPr>
        <w:t xml:space="preserve"> τμήμα ούτε μεταξύ διαφορετικών δικτύων </w:t>
      </w:r>
      <w:r w:rsidRPr="007D2E37">
        <w:rPr>
          <w:rFonts w:ascii="Calibri" w:hAnsi="Calibri" w:cs="Calibri"/>
          <w:color w:val="1F4E79" w:themeColor="accent1" w:themeShade="80"/>
          <w:sz w:val="22"/>
          <w:szCs w:val="22"/>
        </w:rPr>
        <w:t>(</w:t>
      </w:r>
      <w:r>
        <w:rPr>
          <w:rFonts w:ascii="Calibri" w:hAnsi="Calibri" w:cs="Calibri"/>
          <w:color w:val="1F4E79" w:themeColor="accent1" w:themeShade="80"/>
          <w:sz w:val="22"/>
          <w:szCs w:val="22"/>
          <w:lang w:val="en-US"/>
        </w:rPr>
        <w:t>FTTH</w:t>
      </w:r>
      <w:r w:rsidRPr="007D2E37">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με </w:t>
      </w:r>
      <w:r>
        <w:rPr>
          <w:rFonts w:ascii="Calibri" w:hAnsi="Calibri" w:cs="Calibri"/>
          <w:color w:val="1F4E79" w:themeColor="accent1" w:themeShade="80"/>
          <w:sz w:val="22"/>
          <w:szCs w:val="22"/>
          <w:lang w:val="en-US"/>
        </w:rPr>
        <w:t>FTTC</w:t>
      </w:r>
      <w:r w:rsidRPr="007D2E37">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ή χαλκό) ούτε με το </w:t>
      </w:r>
      <w:r w:rsidR="007D5E21">
        <w:rPr>
          <w:rFonts w:ascii="Calibri" w:hAnsi="Calibri" w:cs="Calibri"/>
          <w:color w:val="1F4E79" w:themeColor="accent1" w:themeShade="80"/>
          <w:sz w:val="22"/>
          <w:szCs w:val="22"/>
          <w:lang w:val="en-US"/>
        </w:rPr>
        <w:t>C</w:t>
      </w:r>
      <w:r>
        <w:rPr>
          <w:rFonts w:ascii="Calibri" w:hAnsi="Calibri" w:cs="Calibri"/>
          <w:color w:val="1F4E79" w:themeColor="accent1" w:themeShade="80"/>
          <w:sz w:val="22"/>
          <w:szCs w:val="22"/>
          <w:lang w:val="en-US"/>
        </w:rPr>
        <w:t>ore</w:t>
      </w:r>
      <w:r w:rsidRPr="007D2E37">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δίκτυο. Η όποια επαναχρησιμοποίηση αφορά το τμήμα </w:t>
      </w:r>
      <w:r>
        <w:rPr>
          <w:rFonts w:ascii="Calibri" w:hAnsi="Calibri" w:cs="Calibri"/>
          <w:color w:val="1F4E79" w:themeColor="accent1" w:themeShade="80"/>
          <w:sz w:val="22"/>
          <w:szCs w:val="22"/>
          <w:lang w:val="en-US"/>
        </w:rPr>
        <w:t>Feeder</w:t>
      </w:r>
      <w:r w:rsidRPr="007D2E37">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με το τμήμα </w:t>
      </w:r>
      <w:r w:rsidR="007D5E21">
        <w:rPr>
          <w:rFonts w:ascii="Calibri" w:hAnsi="Calibri" w:cs="Calibri"/>
          <w:color w:val="1F4E79" w:themeColor="accent1" w:themeShade="80"/>
          <w:sz w:val="22"/>
          <w:szCs w:val="22"/>
          <w:lang w:val="en-US"/>
        </w:rPr>
        <w:t>D</w:t>
      </w:r>
      <w:r>
        <w:rPr>
          <w:rFonts w:ascii="Calibri" w:hAnsi="Calibri" w:cs="Calibri"/>
          <w:color w:val="1F4E79" w:themeColor="accent1" w:themeShade="80"/>
          <w:sz w:val="22"/>
          <w:szCs w:val="22"/>
          <w:lang w:val="en-US"/>
        </w:rPr>
        <w:t>istribution</w:t>
      </w:r>
      <w:r w:rsidRPr="007D2E37">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του ίδιου δικτύου (ίδιας τεχνολογίας)</w:t>
      </w:r>
      <w:r w:rsidR="007D5E21">
        <w:rPr>
          <w:rFonts w:ascii="Calibri" w:hAnsi="Calibri" w:cs="Calibri"/>
          <w:color w:val="1F4E79" w:themeColor="accent1" w:themeShade="80"/>
          <w:sz w:val="22"/>
          <w:szCs w:val="22"/>
        </w:rPr>
        <w:t xml:space="preserve">, ή με το τμήμα </w:t>
      </w:r>
      <w:r w:rsidR="007D5E21">
        <w:rPr>
          <w:rFonts w:ascii="Calibri" w:hAnsi="Calibri" w:cs="Calibri"/>
          <w:color w:val="1F4E79" w:themeColor="accent1" w:themeShade="80"/>
          <w:sz w:val="22"/>
          <w:szCs w:val="22"/>
          <w:lang w:val="en-US"/>
        </w:rPr>
        <w:t>Feeder</w:t>
      </w:r>
      <w:r w:rsidR="007D5E21" w:rsidRPr="007D5E21">
        <w:rPr>
          <w:rFonts w:ascii="Calibri" w:hAnsi="Calibri" w:cs="Calibri"/>
          <w:color w:val="1F4E79" w:themeColor="accent1" w:themeShade="80"/>
          <w:sz w:val="22"/>
          <w:szCs w:val="22"/>
        </w:rPr>
        <w:t xml:space="preserve"> </w:t>
      </w:r>
      <w:r w:rsidR="007D5E21">
        <w:rPr>
          <w:rFonts w:ascii="Calibri" w:hAnsi="Calibri" w:cs="Calibri"/>
          <w:color w:val="1F4E79" w:themeColor="accent1" w:themeShade="80"/>
          <w:sz w:val="22"/>
          <w:szCs w:val="22"/>
        </w:rPr>
        <w:t xml:space="preserve">άλλου δικτύου ή με το </w:t>
      </w:r>
      <w:r w:rsidR="007D5E21">
        <w:rPr>
          <w:rFonts w:ascii="Calibri" w:hAnsi="Calibri" w:cs="Calibri"/>
          <w:color w:val="1F4E79" w:themeColor="accent1" w:themeShade="80"/>
          <w:sz w:val="22"/>
          <w:szCs w:val="22"/>
          <w:lang w:val="en-US"/>
        </w:rPr>
        <w:t>Core</w:t>
      </w:r>
      <w:r w:rsidR="007D5E21" w:rsidRPr="007D5E21">
        <w:rPr>
          <w:rFonts w:ascii="Calibri" w:hAnsi="Calibri" w:cs="Calibri"/>
          <w:color w:val="1F4E79" w:themeColor="accent1" w:themeShade="80"/>
          <w:sz w:val="22"/>
          <w:szCs w:val="22"/>
        </w:rPr>
        <w:t xml:space="preserve"> </w:t>
      </w:r>
      <w:r w:rsidR="007D5E21">
        <w:rPr>
          <w:rFonts w:ascii="Calibri" w:hAnsi="Calibri" w:cs="Calibri"/>
          <w:color w:val="1F4E79" w:themeColor="accent1" w:themeShade="80"/>
          <w:sz w:val="22"/>
          <w:szCs w:val="22"/>
        </w:rPr>
        <w:t>δίκτυο</w:t>
      </w:r>
      <w:r w:rsidR="007D5E21" w:rsidRPr="007D5E21">
        <w:rPr>
          <w:rFonts w:ascii="Calibri" w:hAnsi="Calibri" w:cs="Calibri"/>
          <w:color w:val="1F4E79" w:themeColor="accent1" w:themeShade="80"/>
          <w:sz w:val="22"/>
          <w:szCs w:val="22"/>
        </w:rPr>
        <w:t xml:space="preserve">. </w:t>
      </w:r>
      <w:r w:rsidR="007D5E21">
        <w:rPr>
          <w:rFonts w:ascii="Calibri" w:hAnsi="Calibri" w:cs="Calibri"/>
          <w:color w:val="1F4E79" w:themeColor="accent1" w:themeShade="80"/>
          <w:sz w:val="22"/>
          <w:szCs w:val="22"/>
        </w:rPr>
        <w:t>Επίσης, η ΕΕΤΤ εμμένει στη θέση της για την αναλογία κόστους μεταξύ των τμημάτων. Τα ανωτέρω είναι βασισμένα στις τεχνικές προδιαγραφές και τις υλοποιήσεις των παρόχων, που διατέθηκαν στην ΕΕΤΤ κατά τη φάση συλλογής στοιχείων</w:t>
      </w:r>
      <w:r w:rsidR="00B268EE">
        <w:rPr>
          <w:rFonts w:ascii="Calibri" w:hAnsi="Calibri" w:cs="Calibri"/>
          <w:color w:val="1F4E79" w:themeColor="accent1" w:themeShade="80"/>
          <w:sz w:val="22"/>
          <w:szCs w:val="22"/>
        </w:rPr>
        <w:t>,</w:t>
      </w:r>
      <w:r w:rsidR="007D5E21">
        <w:rPr>
          <w:rFonts w:ascii="Calibri" w:hAnsi="Calibri" w:cs="Calibri"/>
          <w:color w:val="1F4E79" w:themeColor="accent1" w:themeShade="80"/>
          <w:sz w:val="22"/>
          <w:szCs w:val="22"/>
        </w:rPr>
        <w:t xml:space="preserve"> λαμβάνοντας ταυτόχρονα υπόψη και εύλογες </w:t>
      </w:r>
      <w:proofErr w:type="spellStart"/>
      <w:r w:rsidR="007D5E21">
        <w:rPr>
          <w:rFonts w:ascii="Calibri" w:hAnsi="Calibri" w:cs="Calibri"/>
          <w:color w:val="1F4E79" w:themeColor="accent1" w:themeShade="80"/>
          <w:sz w:val="22"/>
          <w:szCs w:val="22"/>
        </w:rPr>
        <w:t>αποδοτικότητες</w:t>
      </w:r>
      <w:proofErr w:type="spellEnd"/>
      <w:r w:rsidR="007D5E21">
        <w:rPr>
          <w:rFonts w:ascii="Calibri" w:hAnsi="Calibri" w:cs="Calibri"/>
          <w:color w:val="1F4E79" w:themeColor="accent1" w:themeShade="80"/>
          <w:sz w:val="22"/>
          <w:szCs w:val="22"/>
        </w:rPr>
        <w:t xml:space="preserve"> στην υλοποίηση. </w:t>
      </w:r>
    </w:p>
    <w:p w14:paraId="1FB0DB17" w14:textId="77777777" w:rsidR="007D2E37" w:rsidRDefault="007D2E37" w:rsidP="004014AE">
      <w:pPr>
        <w:pStyle w:val="ab"/>
        <w:spacing w:before="143" w:line="259" w:lineRule="auto"/>
        <w:ind w:right="136"/>
        <w:rPr>
          <w:rFonts w:ascii="Calibri" w:hAnsi="Calibri" w:cs="Calibri"/>
          <w:sz w:val="22"/>
          <w:szCs w:val="22"/>
        </w:rPr>
      </w:pPr>
    </w:p>
    <w:p w14:paraId="265D2699" w14:textId="74323D2F" w:rsidR="001B37A5" w:rsidRPr="005258C8" w:rsidRDefault="001B37A5" w:rsidP="00392B3A">
      <w:pPr>
        <w:pStyle w:val="2"/>
        <w:keepNext w:val="0"/>
        <w:widowControl w:val="0"/>
        <w:numPr>
          <w:ilvl w:val="1"/>
          <w:numId w:val="6"/>
        </w:numPr>
        <w:tabs>
          <w:tab w:val="left" w:pos="722"/>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rPr>
        <w:t>Γεωγραφικό μοντέλο</w:t>
      </w:r>
    </w:p>
    <w:p w14:paraId="5C4E9BAD" w14:textId="1512A139" w:rsidR="001B37A5" w:rsidRDefault="001B37A5" w:rsidP="001B37A5">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διαφωνεί με τον </w:t>
      </w:r>
      <w:r w:rsidRPr="00A748A3">
        <w:rPr>
          <w:rFonts w:ascii="Calibri" w:hAnsi="Calibri" w:cs="Calibri"/>
          <w:sz w:val="22"/>
          <w:szCs w:val="22"/>
        </w:rPr>
        <w:t xml:space="preserve">τρόπο </w:t>
      </w:r>
      <w:r>
        <w:rPr>
          <w:rFonts w:ascii="Calibri" w:hAnsi="Calibri" w:cs="Calibri"/>
          <w:sz w:val="22"/>
          <w:szCs w:val="22"/>
        </w:rPr>
        <w:t>υπολογισμού του μ</w:t>
      </w:r>
      <w:r w:rsidRPr="001B37A5">
        <w:rPr>
          <w:rFonts w:ascii="Calibri" w:hAnsi="Calibri" w:cs="Calibri"/>
          <w:sz w:val="22"/>
          <w:szCs w:val="22"/>
        </w:rPr>
        <w:t>έσο</w:t>
      </w:r>
      <w:r>
        <w:rPr>
          <w:rFonts w:ascii="Calibri" w:hAnsi="Calibri" w:cs="Calibri"/>
          <w:sz w:val="22"/>
          <w:szCs w:val="22"/>
        </w:rPr>
        <w:t>υ</w:t>
      </w:r>
      <w:r w:rsidRPr="001B37A5">
        <w:rPr>
          <w:rFonts w:ascii="Calibri" w:hAnsi="Calibri" w:cs="Calibri"/>
          <w:sz w:val="22"/>
          <w:szCs w:val="22"/>
        </w:rPr>
        <w:t xml:space="preserve"> αριθμ</w:t>
      </w:r>
      <w:r>
        <w:rPr>
          <w:rFonts w:ascii="Calibri" w:hAnsi="Calibri" w:cs="Calibri"/>
          <w:sz w:val="22"/>
          <w:szCs w:val="22"/>
        </w:rPr>
        <w:t>ού</w:t>
      </w:r>
      <w:r w:rsidRPr="001B37A5">
        <w:rPr>
          <w:rFonts w:ascii="Calibri" w:hAnsi="Calibri" w:cs="Calibri"/>
          <w:sz w:val="22"/>
          <w:szCs w:val="22"/>
        </w:rPr>
        <w:t xml:space="preserve"> καλωδίων ανά τμήμα δικτύου, καθώς δεν λαμβάνει σωστά υπόψη τα μήκη που αντιστοιχούν στις επικαλύψεις μεταξύ διαφορετικών τμημάτων. Για τον ορθό υπολογισμό, ο συνολικός αριθμός καλωδίων θα πρέπει να διαιρείται με το πραγματικό συνολικό μήκος του δικτύου, συμπεριλαμβανομένου του μήκους που αφορά τις επικαλύψεις</w:t>
      </w:r>
      <w:r>
        <w:rPr>
          <w:rFonts w:ascii="Calibri" w:hAnsi="Calibri" w:cs="Calibri"/>
          <w:sz w:val="22"/>
          <w:szCs w:val="22"/>
        </w:rPr>
        <w:t xml:space="preserve">, ενώ σημειώνει ότι με </w:t>
      </w:r>
      <w:r w:rsidRPr="001B37A5">
        <w:rPr>
          <w:rFonts w:ascii="Calibri" w:hAnsi="Calibri" w:cs="Calibri"/>
          <w:sz w:val="22"/>
          <w:szCs w:val="22"/>
        </w:rPr>
        <w:t xml:space="preserve">βάση τα αποτελέσματα του μοντέλου έχουν εγκατασταθεί 16.623,80 </w:t>
      </w:r>
      <w:r w:rsidR="00FB6755" w:rsidRPr="001B37A5">
        <w:rPr>
          <w:rFonts w:ascii="Calibri" w:hAnsi="Calibri" w:cs="Calibri"/>
          <w:sz w:val="22"/>
          <w:szCs w:val="22"/>
        </w:rPr>
        <w:t>χλμ.</w:t>
      </w:r>
      <w:r w:rsidRPr="001B37A5">
        <w:rPr>
          <w:rFonts w:ascii="Calibri" w:hAnsi="Calibri" w:cs="Calibri"/>
          <w:sz w:val="22"/>
          <w:szCs w:val="22"/>
        </w:rPr>
        <w:t xml:space="preserve"> καλωδίων σε 18.119,15 </w:t>
      </w:r>
      <w:r w:rsidR="00FB6755" w:rsidRPr="001B37A5">
        <w:rPr>
          <w:rFonts w:ascii="Calibri" w:hAnsi="Calibri" w:cs="Calibri"/>
          <w:sz w:val="22"/>
          <w:szCs w:val="22"/>
        </w:rPr>
        <w:t>χλμ.</w:t>
      </w:r>
      <w:r w:rsidRPr="001B37A5">
        <w:rPr>
          <w:rFonts w:ascii="Calibri" w:hAnsi="Calibri" w:cs="Calibri"/>
          <w:sz w:val="22"/>
          <w:szCs w:val="22"/>
        </w:rPr>
        <w:t xml:space="preserve"> χαντακιών, </w:t>
      </w:r>
      <w:r>
        <w:rPr>
          <w:rFonts w:ascii="Calibri" w:hAnsi="Calibri" w:cs="Calibri"/>
          <w:sz w:val="22"/>
          <w:szCs w:val="22"/>
        </w:rPr>
        <w:t xml:space="preserve">με αποτέλεσμα να φαίνεται ότι </w:t>
      </w:r>
      <w:r w:rsidRPr="001B37A5">
        <w:rPr>
          <w:rFonts w:ascii="Calibri" w:hAnsi="Calibri" w:cs="Calibri"/>
          <w:sz w:val="22"/>
          <w:szCs w:val="22"/>
        </w:rPr>
        <w:t>υπάρχουν χαντάκια στα οποία δεν έχουν εγκατασταθεί καλώδια.</w:t>
      </w:r>
    </w:p>
    <w:p w14:paraId="67697F09" w14:textId="77777777" w:rsidR="001B37A5" w:rsidRDefault="001B37A5" w:rsidP="001B37A5">
      <w:pPr>
        <w:pStyle w:val="ab"/>
        <w:spacing w:before="143" w:line="259" w:lineRule="auto"/>
        <w:ind w:right="136"/>
        <w:rPr>
          <w:rFonts w:ascii="Calibri" w:hAnsi="Calibri" w:cs="Calibri"/>
          <w:sz w:val="22"/>
          <w:szCs w:val="22"/>
        </w:rPr>
      </w:pPr>
      <w:r>
        <w:rPr>
          <w:rFonts w:ascii="Calibri" w:hAnsi="Calibri" w:cs="Calibri"/>
          <w:sz w:val="22"/>
          <w:szCs w:val="22"/>
        </w:rPr>
        <w:t>Ένας συμμετέχων διαφωνεί με τις υποθέσεις του γεωγραφικού μοντέλου, υπογραμμίζοντας  τις παρακάτω διαφοροποιήσεις:</w:t>
      </w:r>
    </w:p>
    <w:p w14:paraId="790ADD45" w14:textId="7E41237F" w:rsidR="001B37A5" w:rsidRDefault="001B37A5" w:rsidP="00392B3A">
      <w:pPr>
        <w:pStyle w:val="ab"/>
        <w:numPr>
          <w:ilvl w:val="0"/>
          <w:numId w:val="7"/>
        </w:numPr>
        <w:spacing w:before="143" w:line="259" w:lineRule="auto"/>
        <w:ind w:right="136"/>
        <w:rPr>
          <w:rFonts w:ascii="Calibri" w:hAnsi="Calibri" w:cs="Calibri"/>
          <w:sz w:val="22"/>
          <w:szCs w:val="22"/>
        </w:rPr>
      </w:pPr>
      <w:r>
        <w:rPr>
          <w:rFonts w:ascii="Calibri" w:hAnsi="Calibri" w:cs="Calibri"/>
          <w:sz w:val="22"/>
          <w:szCs w:val="22"/>
        </w:rPr>
        <w:t xml:space="preserve">Υποεκτίμηση μηκών καλωδίων χαλκού στο </w:t>
      </w:r>
      <w:r>
        <w:rPr>
          <w:rFonts w:ascii="Calibri" w:hAnsi="Calibri" w:cs="Calibri"/>
          <w:sz w:val="22"/>
          <w:szCs w:val="22"/>
          <w:lang w:val="en-US"/>
        </w:rPr>
        <w:t>feeder</w:t>
      </w:r>
      <w:r w:rsidRPr="001B37A5">
        <w:rPr>
          <w:rFonts w:ascii="Calibri" w:hAnsi="Calibri" w:cs="Calibri"/>
          <w:sz w:val="22"/>
          <w:szCs w:val="22"/>
        </w:rPr>
        <w:t xml:space="preserve"> </w:t>
      </w:r>
      <w:r>
        <w:rPr>
          <w:rFonts w:ascii="Calibri" w:hAnsi="Calibri" w:cs="Calibri"/>
          <w:sz w:val="22"/>
          <w:szCs w:val="22"/>
        </w:rPr>
        <w:t xml:space="preserve">δίκτυο, ύπαρξη </w:t>
      </w:r>
      <w:proofErr w:type="spellStart"/>
      <w:r>
        <w:rPr>
          <w:rFonts w:ascii="Calibri" w:hAnsi="Calibri" w:cs="Calibri"/>
          <w:sz w:val="22"/>
          <w:szCs w:val="22"/>
        </w:rPr>
        <w:t>χαντακίων</w:t>
      </w:r>
      <w:proofErr w:type="spellEnd"/>
      <w:r>
        <w:rPr>
          <w:rFonts w:ascii="Calibri" w:hAnsi="Calibri" w:cs="Calibri"/>
          <w:sz w:val="22"/>
          <w:szCs w:val="22"/>
        </w:rPr>
        <w:t xml:space="preserve"> χωρίς καλώδια</w:t>
      </w:r>
      <w:r w:rsidR="00433EE1">
        <w:rPr>
          <w:rFonts w:ascii="Calibri" w:hAnsi="Calibri" w:cs="Calibri"/>
          <w:sz w:val="22"/>
          <w:szCs w:val="22"/>
        </w:rPr>
        <w:t>.</w:t>
      </w:r>
    </w:p>
    <w:p w14:paraId="6941ABE5" w14:textId="23FBBA3F" w:rsidR="001B37A5" w:rsidRDefault="001B37A5" w:rsidP="00392B3A">
      <w:pPr>
        <w:pStyle w:val="ab"/>
        <w:numPr>
          <w:ilvl w:val="0"/>
          <w:numId w:val="7"/>
        </w:numPr>
        <w:spacing w:before="143" w:line="259" w:lineRule="auto"/>
        <w:ind w:right="136"/>
        <w:rPr>
          <w:rFonts w:ascii="Calibri" w:hAnsi="Calibri" w:cs="Calibri"/>
          <w:sz w:val="22"/>
          <w:szCs w:val="22"/>
        </w:rPr>
      </w:pPr>
      <w:r>
        <w:rPr>
          <w:rFonts w:ascii="Calibri" w:hAnsi="Calibri" w:cs="Calibri"/>
          <w:sz w:val="22"/>
          <w:szCs w:val="22"/>
        </w:rPr>
        <w:t xml:space="preserve">Στο </w:t>
      </w:r>
      <w:r>
        <w:rPr>
          <w:rFonts w:ascii="Calibri" w:hAnsi="Calibri" w:cs="Calibri"/>
          <w:sz w:val="22"/>
          <w:szCs w:val="22"/>
          <w:lang w:val="en-US"/>
        </w:rPr>
        <w:t>distribution</w:t>
      </w:r>
      <w:r w:rsidRPr="001B37A5">
        <w:rPr>
          <w:rFonts w:ascii="Calibri" w:hAnsi="Calibri" w:cs="Calibri"/>
          <w:sz w:val="22"/>
          <w:szCs w:val="22"/>
        </w:rPr>
        <w:t xml:space="preserve"> </w:t>
      </w:r>
      <w:r>
        <w:rPr>
          <w:rFonts w:ascii="Calibri" w:hAnsi="Calibri" w:cs="Calibri"/>
          <w:sz w:val="22"/>
          <w:szCs w:val="22"/>
        </w:rPr>
        <w:t>δίκτυο χαλκού εγκαθίστανται μεγαλύτερος του ενός αριθμός καλωδίων (ένα ανά κτίριο ή ανά δύο κτίρια)</w:t>
      </w:r>
      <w:r w:rsidR="00433EE1">
        <w:rPr>
          <w:rFonts w:ascii="Calibri" w:hAnsi="Calibri" w:cs="Calibri"/>
          <w:sz w:val="22"/>
          <w:szCs w:val="22"/>
        </w:rPr>
        <w:t>.</w:t>
      </w:r>
    </w:p>
    <w:p w14:paraId="7BD08035" w14:textId="0B24C726" w:rsidR="001B37A5" w:rsidRPr="001B37A5" w:rsidRDefault="001B37A5" w:rsidP="00392B3A">
      <w:pPr>
        <w:pStyle w:val="ab"/>
        <w:numPr>
          <w:ilvl w:val="0"/>
          <w:numId w:val="7"/>
        </w:numPr>
        <w:spacing w:before="143" w:line="259" w:lineRule="auto"/>
        <w:ind w:right="136"/>
        <w:rPr>
          <w:rFonts w:ascii="Calibri" w:hAnsi="Calibri" w:cs="Calibri"/>
          <w:sz w:val="22"/>
          <w:szCs w:val="22"/>
        </w:rPr>
      </w:pPr>
      <w:r w:rsidRPr="001B37A5">
        <w:rPr>
          <w:rFonts w:ascii="Calibri" w:hAnsi="Calibri" w:cs="Calibri"/>
          <w:sz w:val="22"/>
          <w:szCs w:val="22"/>
        </w:rPr>
        <w:t xml:space="preserve">Στο </w:t>
      </w:r>
      <w:proofErr w:type="spellStart"/>
      <w:r w:rsidRPr="001B37A5">
        <w:rPr>
          <w:rFonts w:ascii="Calibri" w:hAnsi="Calibri" w:cs="Calibri"/>
          <w:sz w:val="22"/>
          <w:szCs w:val="22"/>
        </w:rPr>
        <w:t>feeder</w:t>
      </w:r>
      <w:proofErr w:type="spellEnd"/>
      <w:r w:rsidRPr="001B37A5">
        <w:rPr>
          <w:rFonts w:ascii="Calibri" w:hAnsi="Calibri" w:cs="Calibri"/>
          <w:sz w:val="22"/>
          <w:szCs w:val="22"/>
        </w:rPr>
        <w:t xml:space="preserve"> δίκτυο, το μοντέλο συγκεντρώνει τα καλώδια χαλκού υπερβολικά γρήγορα σε λίγα, πολύ μεγάλα καλώδια</w:t>
      </w:r>
      <w:r w:rsidR="00433EE1">
        <w:rPr>
          <w:rFonts w:ascii="Calibri" w:hAnsi="Calibri" w:cs="Calibri"/>
          <w:sz w:val="22"/>
          <w:szCs w:val="22"/>
        </w:rPr>
        <w:t>.</w:t>
      </w:r>
      <w:r w:rsidRPr="001B37A5">
        <w:rPr>
          <w:rFonts w:ascii="Calibri" w:hAnsi="Calibri" w:cs="Calibri"/>
          <w:sz w:val="22"/>
          <w:szCs w:val="22"/>
        </w:rPr>
        <w:t xml:space="preserve"> </w:t>
      </w:r>
    </w:p>
    <w:p w14:paraId="16264108" w14:textId="549995F7" w:rsidR="00433EE1" w:rsidRPr="00433EE1" w:rsidRDefault="00433EE1" w:rsidP="00392B3A">
      <w:pPr>
        <w:pStyle w:val="ab"/>
        <w:numPr>
          <w:ilvl w:val="0"/>
          <w:numId w:val="7"/>
        </w:numPr>
        <w:spacing w:before="143" w:line="259" w:lineRule="auto"/>
        <w:ind w:right="136"/>
        <w:rPr>
          <w:rFonts w:ascii="Calibri" w:hAnsi="Calibri" w:cs="Calibri"/>
          <w:sz w:val="22"/>
          <w:szCs w:val="22"/>
        </w:rPr>
      </w:pPr>
      <w:r w:rsidRPr="00433EE1">
        <w:rPr>
          <w:rFonts w:ascii="Calibri" w:hAnsi="Calibri" w:cs="Calibri"/>
          <w:sz w:val="22"/>
          <w:szCs w:val="22"/>
        </w:rPr>
        <w:lastRenderedPageBreak/>
        <w:t xml:space="preserve">Στο δίκτυο FTTC και Copper </w:t>
      </w:r>
      <w:proofErr w:type="spellStart"/>
      <w:r w:rsidRPr="00433EE1">
        <w:rPr>
          <w:rFonts w:ascii="Calibri" w:hAnsi="Calibri" w:cs="Calibri"/>
          <w:sz w:val="22"/>
          <w:szCs w:val="22"/>
        </w:rPr>
        <w:t>Subsidy</w:t>
      </w:r>
      <w:proofErr w:type="spellEnd"/>
      <w:r w:rsidRPr="00433EE1">
        <w:rPr>
          <w:rFonts w:ascii="Calibri" w:hAnsi="Calibri" w:cs="Calibri"/>
          <w:sz w:val="22"/>
          <w:szCs w:val="22"/>
        </w:rPr>
        <w:t xml:space="preserve"> το μήκος χαντακιού ανά καμπίνα είναι πολύ μικρό, 400m και 960m αντίστοιχα, σε σύγκριση με τα αντίστοιχα μήκη των FTTH και Copper δικτύου, 1,21km και 1,45km αντίστοιχα. </w:t>
      </w:r>
    </w:p>
    <w:p w14:paraId="1754D443" w14:textId="1C3BA9D1" w:rsidR="00433EE1" w:rsidRPr="00433EE1" w:rsidRDefault="00433EE1" w:rsidP="00392B3A">
      <w:pPr>
        <w:pStyle w:val="ab"/>
        <w:numPr>
          <w:ilvl w:val="0"/>
          <w:numId w:val="7"/>
        </w:numPr>
        <w:spacing w:before="143" w:line="259" w:lineRule="auto"/>
        <w:ind w:right="136"/>
        <w:rPr>
          <w:rFonts w:ascii="Calibri" w:hAnsi="Calibri" w:cs="Calibri"/>
          <w:sz w:val="22"/>
          <w:szCs w:val="22"/>
        </w:rPr>
      </w:pPr>
      <w:r w:rsidRPr="00433EE1">
        <w:rPr>
          <w:rFonts w:ascii="Calibri" w:hAnsi="Calibri" w:cs="Calibri"/>
          <w:sz w:val="22"/>
          <w:szCs w:val="22"/>
        </w:rPr>
        <w:t xml:space="preserve">Υποεκτίμηση κατά 20% περίπου του μήκος του </w:t>
      </w:r>
      <w:proofErr w:type="spellStart"/>
      <w:r w:rsidRPr="00433EE1">
        <w:rPr>
          <w:rFonts w:ascii="Calibri" w:hAnsi="Calibri" w:cs="Calibri"/>
          <w:sz w:val="22"/>
          <w:szCs w:val="22"/>
        </w:rPr>
        <w:t>feeder</w:t>
      </w:r>
      <w:proofErr w:type="spellEnd"/>
      <w:r w:rsidRPr="00433EE1">
        <w:rPr>
          <w:rFonts w:ascii="Calibri" w:hAnsi="Calibri" w:cs="Calibri"/>
          <w:sz w:val="22"/>
          <w:szCs w:val="22"/>
        </w:rPr>
        <w:t xml:space="preserve"> δικτύου του FTTH</w:t>
      </w:r>
      <w:r>
        <w:rPr>
          <w:rFonts w:ascii="Calibri" w:hAnsi="Calibri" w:cs="Calibri"/>
          <w:sz w:val="22"/>
          <w:szCs w:val="22"/>
        </w:rPr>
        <w:t>.</w:t>
      </w:r>
      <w:r w:rsidRPr="00433EE1">
        <w:rPr>
          <w:rFonts w:ascii="Calibri" w:hAnsi="Calibri" w:cs="Calibri"/>
          <w:sz w:val="22"/>
          <w:szCs w:val="22"/>
        </w:rPr>
        <w:t xml:space="preserve"> </w:t>
      </w:r>
    </w:p>
    <w:p w14:paraId="022820D2" w14:textId="539243A0" w:rsidR="001B37A5" w:rsidRDefault="00433EE1" w:rsidP="00392B3A">
      <w:pPr>
        <w:pStyle w:val="ab"/>
        <w:numPr>
          <w:ilvl w:val="0"/>
          <w:numId w:val="7"/>
        </w:numPr>
        <w:spacing w:before="143" w:line="259" w:lineRule="auto"/>
        <w:ind w:right="136"/>
        <w:rPr>
          <w:rFonts w:ascii="Calibri" w:hAnsi="Calibri" w:cs="Calibri"/>
          <w:sz w:val="22"/>
          <w:szCs w:val="22"/>
        </w:rPr>
      </w:pPr>
      <w:r w:rsidRPr="00433EE1">
        <w:rPr>
          <w:rFonts w:ascii="Calibri" w:hAnsi="Calibri" w:cs="Calibri"/>
          <w:sz w:val="22"/>
          <w:szCs w:val="22"/>
        </w:rPr>
        <w:t>Ο αριθμός των ινών ανά κτίριο είναι ιδιαίτερα μικρός</w:t>
      </w:r>
      <w:r>
        <w:rPr>
          <w:rFonts w:ascii="Calibri" w:hAnsi="Calibri" w:cs="Calibri"/>
          <w:sz w:val="22"/>
          <w:szCs w:val="22"/>
        </w:rPr>
        <w:t xml:space="preserve">, ιδιαίτερα αν λογιστεί η </w:t>
      </w:r>
      <w:r w:rsidRPr="00433EE1">
        <w:rPr>
          <w:rFonts w:ascii="Calibri" w:hAnsi="Calibri" w:cs="Calibri"/>
          <w:sz w:val="22"/>
          <w:szCs w:val="22"/>
        </w:rPr>
        <w:t xml:space="preserve">παροχή υπηρεσιών PIA στο τμήμα του </w:t>
      </w:r>
      <w:proofErr w:type="spellStart"/>
      <w:r w:rsidRPr="00433EE1">
        <w:rPr>
          <w:rFonts w:ascii="Calibri" w:hAnsi="Calibri" w:cs="Calibri"/>
          <w:sz w:val="22"/>
          <w:szCs w:val="22"/>
        </w:rPr>
        <w:t>distribution</w:t>
      </w:r>
      <w:proofErr w:type="spellEnd"/>
      <w:r w:rsidRPr="00433EE1">
        <w:rPr>
          <w:rFonts w:ascii="Calibri" w:hAnsi="Calibri" w:cs="Calibri"/>
          <w:sz w:val="22"/>
          <w:szCs w:val="22"/>
        </w:rPr>
        <w:t xml:space="preserve"> και </w:t>
      </w:r>
      <w:proofErr w:type="spellStart"/>
      <w:r w:rsidRPr="00433EE1">
        <w:rPr>
          <w:rFonts w:ascii="Calibri" w:hAnsi="Calibri" w:cs="Calibri"/>
          <w:sz w:val="22"/>
          <w:szCs w:val="22"/>
        </w:rPr>
        <w:t>drop</w:t>
      </w:r>
      <w:proofErr w:type="spellEnd"/>
      <w:r w:rsidRPr="00433EE1">
        <w:rPr>
          <w:rFonts w:ascii="Calibri" w:hAnsi="Calibri" w:cs="Calibri"/>
          <w:sz w:val="22"/>
          <w:szCs w:val="22"/>
        </w:rPr>
        <w:t xml:space="preserve"> του δικτύου, δεδομένου ότι απαιτείται τουλάχιστον μία ίνα εφεδρείας για κάθε κτίριο</w:t>
      </w:r>
      <w:r>
        <w:rPr>
          <w:rFonts w:ascii="Calibri" w:hAnsi="Calibri" w:cs="Calibri"/>
          <w:sz w:val="22"/>
          <w:szCs w:val="22"/>
        </w:rPr>
        <w:t>.</w:t>
      </w:r>
    </w:p>
    <w:p w14:paraId="67134FAC" w14:textId="19982867" w:rsidR="00433EE1" w:rsidRDefault="00433EE1" w:rsidP="00392B3A">
      <w:pPr>
        <w:pStyle w:val="ab"/>
        <w:numPr>
          <w:ilvl w:val="0"/>
          <w:numId w:val="7"/>
        </w:numPr>
        <w:spacing w:before="143" w:line="259" w:lineRule="auto"/>
        <w:ind w:right="136"/>
        <w:rPr>
          <w:rFonts w:ascii="Calibri" w:hAnsi="Calibri" w:cs="Calibri"/>
          <w:sz w:val="22"/>
          <w:szCs w:val="22"/>
        </w:rPr>
      </w:pPr>
      <w:r w:rsidRPr="00433EE1">
        <w:rPr>
          <w:rFonts w:ascii="Calibri" w:hAnsi="Calibri" w:cs="Calibri"/>
          <w:sz w:val="22"/>
          <w:szCs w:val="22"/>
        </w:rPr>
        <w:t xml:space="preserve">Το μήκος για το </w:t>
      </w:r>
      <w:proofErr w:type="spellStart"/>
      <w:r w:rsidRPr="00433EE1">
        <w:rPr>
          <w:rFonts w:ascii="Calibri" w:hAnsi="Calibri" w:cs="Calibri"/>
          <w:sz w:val="22"/>
          <w:szCs w:val="22"/>
        </w:rPr>
        <w:t>drop</w:t>
      </w:r>
      <w:proofErr w:type="spellEnd"/>
      <w:r w:rsidRPr="00433EE1">
        <w:rPr>
          <w:rFonts w:ascii="Calibri" w:hAnsi="Calibri" w:cs="Calibri"/>
          <w:sz w:val="22"/>
          <w:szCs w:val="22"/>
        </w:rPr>
        <w:t xml:space="preserve"> που μοντελοποιείται είναι ιδιαίτερα μικρό. Με βάση την </w:t>
      </w:r>
      <w:r>
        <w:rPr>
          <w:rFonts w:ascii="Calibri" w:hAnsi="Calibri" w:cs="Calibri"/>
          <w:sz w:val="22"/>
          <w:szCs w:val="22"/>
        </w:rPr>
        <w:t xml:space="preserve">πρακτική του παρόχου προτείνεται </w:t>
      </w:r>
      <w:r w:rsidRPr="00433EE1">
        <w:rPr>
          <w:rFonts w:ascii="Calibri" w:hAnsi="Calibri" w:cs="Calibri"/>
          <w:sz w:val="22"/>
          <w:szCs w:val="22"/>
        </w:rPr>
        <w:t xml:space="preserve">το μήκος για τα </w:t>
      </w:r>
      <w:proofErr w:type="spellStart"/>
      <w:r w:rsidRPr="00433EE1">
        <w:rPr>
          <w:rFonts w:ascii="Calibri" w:hAnsi="Calibri" w:cs="Calibri"/>
          <w:sz w:val="22"/>
          <w:szCs w:val="22"/>
        </w:rPr>
        <w:t>drop</w:t>
      </w:r>
      <w:proofErr w:type="spellEnd"/>
      <w:r w:rsidRPr="00433EE1">
        <w:rPr>
          <w:rFonts w:ascii="Calibri" w:hAnsi="Calibri" w:cs="Calibri"/>
          <w:sz w:val="22"/>
          <w:szCs w:val="22"/>
        </w:rPr>
        <w:t xml:space="preserve"> (ως μέσο μήκος) να αυξηθεί στα 8 μέτρα για τις πυκνές αστικές και αστικές περιοχές, στα 12 μέτρα για τις ημιαστικές και στα 15 για τις αγροτικές</w:t>
      </w:r>
      <w:r>
        <w:rPr>
          <w:rFonts w:ascii="Calibri" w:hAnsi="Calibri" w:cs="Calibri"/>
          <w:sz w:val="22"/>
          <w:szCs w:val="22"/>
        </w:rPr>
        <w:t>.</w:t>
      </w:r>
      <w:r w:rsidRPr="00433EE1">
        <w:rPr>
          <w:rFonts w:ascii="Calibri" w:hAnsi="Calibri" w:cs="Calibri"/>
          <w:sz w:val="22"/>
          <w:szCs w:val="22"/>
        </w:rPr>
        <w:t xml:space="preserve"> </w:t>
      </w:r>
    </w:p>
    <w:p w14:paraId="7D52BE4C" w14:textId="0153A662" w:rsidR="00433EE1" w:rsidRPr="00433EE1" w:rsidRDefault="00433EE1" w:rsidP="00392B3A">
      <w:pPr>
        <w:pStyle w:val="ab"/>
        <w:numPr>
          <w:ilvl w:val="0"/>
          <w:numId w:val="7"/>
        </w:numPr>
        <w:spacing w:before="143" w:line="259" w:lineRule="auto"/>
        <w:ind w:right="136"/>
        <w:rPr>
          <w:rFonts w:ascii="Calibri" w:hAnsi="Calibri" w:cs="Calibri"/>
          <w:sz w:val="22"/>
          <w:szCs w:val="22"/>
        </w:rPr>
      </w:pPr>
      <w:r>
        <w:rPr>
          <w:rFonts w:ascii="Calibri" w:hAnsi="Calibri" w:cs="Calibri"/>
          <w:sz w:val="22"/>
          <w:szCs w:val="22"/>
        </w:rPr>
        <w:t xml:space="preserve">Το μοντέλο μετατρέπει </w:t>
      </w:r>
      <w:r w:rsidRPr="00433EE1">
        <w:rPr>
          <w:rFonts w:ascii="Calibri" w:hAnsi="Calibri" w:cs="Calibri"/>
          <w:sz w:val="22"/>
          <w:szCs w:val="22"/>
        </w:rPr>
        <w:t xml:space="preserve">σε εναέριες τις οδεύσεις στις οποίες έχουν υπολογιστεί καλώδια με μεγάλο πλήθος ζευγών (π.χ. 50, 100, 200, 400 και 1000 ζευγών). </w:t>
      </w:r>
      <w:r>
        <w:rPr>
          <w:rFonts w:ascii="Calibri" w:hAnsi="Calibri" w:cs="Calibri"/>
          <w:sz w:val="22"/>
          <w:szCs w:val="22"/>
        </w:rPr>
        <w:t>Αντίθετα, ε</w:t>
      </w:r>
      <w:r w:rsidRPr="00433EE1">
        <w:rPr>
          <w:rFonts w:ascii="Calibri" w:hAnsi="Calibri" w:cs="Calibri"/>
          <w:sz w:val="22"/>
          <w:szCs w:val="22"/>
        </w:rPr>
        <w:t>ναέρια καλώδια τοποθετούνται μόνο σε περιπτώσεις όπου ο σχετικός αριθμός ζευγών σε μια όδευση το επιτρέπει</w:t>
      </w:r>
    </w:p>
    <w:p w14:paraId="39C73944" w14:textId="401F4BC6" w:rsidR="00433EE1" w:rsidRPr="00433EE1" w:rsidRDefault="00433EE1" w:rsidP="00433EE1">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διαφωνεί με τον υπολογισμό του μέσου μήκους του </w:t>
      </w:r>
      <w:proofErr w:type="spellStart"/>
      <w:r w:rsidRPr="00B77652">
        <w:rPr>
          <w:rFonts w:ascii="Calibri" w:hAnsi="Calibri" w:cs="Calibri"/>
          <w:sz w:val="22"/>
          <w:szCs w:val="22"/>
        </w:rPr>
        <w:t>drop</w:t>
      </w:r>
      <w:proofErr w:type="spellEnd"/>
      <w:r w:rsidRPr="00B77652">
        <w:rPr>
          <w:rFonts w:ascii="Calibri" w:hAnsi="Calibri" w:cs="Calibri"/>
          <w:sz w:val="22"/>
          <w:szCs w:val="22"/>
        </w:rPr>
        <w:t xml:space="preserve"> </w:t>
      </w:r>
      <w:r>
        <w:rPr>
          <w:rFonts w:ascii="Calibri" w:hAnsi="Calibri" w:cs="Calibri"/>
          <w:sz w:val="22"/>
          <w:szCs w:val="22"/>
        </w:rPr>
        <w:t xml:space="preserve">το οποίο </w:t>
      </w:r>
      <w:r w:rsidRPr="00B77652">
        <w:rPr>
          <w:rFonts w:ascii="Calibri" w:hAnsi="Calibri" w:cs="Calibri"/>
          <w:sz w:val="22"/>
          <w:szCs w:val="22"/>
        </w:rPr>
        <w:t>είναι σημαντικά μεγαλύτερο καθώς περιλαμβάνει και το τμήμα του πεζοδρομίου αλλά και την είσοδο στο κτίριο</w:t>
      </w:r>
      <w:r>
        <w:rPr>
          <w:rFonts w:ascii="Calibri" w:hAnsi="Calibri" w:cs="Calibri"/>
          <w:sz w:val="22"/>
          <w:szCs w:val="22"/>
        </w:rPr>
        <w:t>.</w:t>
      </w:r>
      <w:r w:rsidRPr="00063071">
        <w:rPr>
          <w:rFonts w:ascii="Calibri" w:hAnsi="Calibri" w:cs="Calibri"/>
          <w:sz w:val="22"/>
          <w:szCs w:val="22"/>
        </w:rPr>
        <w:t xml:space="preserve"> </w:t>
      </w:r>
      <w:r>
        <w:rPr>
          <w:rFonts w:ascii="Calibri" w:hAnsi="Calibri" w:cs="Calibri"/>
          <w:sz w:val="22"/>
          <w:szCs w:val="22"/>
        </w:rPr>
        <w:t xml:space="preserve">Επίσης, </w:t>
      </w:r>
      <w:r w:rsidRPr="00B77652">
        <w:rPr>
          <w:rFonts w:ascii="Calibri" w:hAnsi="Calibri" w:cs="Calibri"/>
          <w:sz w:val="22"/>
          <w:szCs w:val="22"/>
        </w:rPr>
        <w:t xml:space="preserve">περιλαμβάνει εργασίες που δεν αφορούν μόνο </w:t>
      </w:r>
      <w:proofErr w:type="spellStart"/>
      <w:r w:rsidRPr="00B77652">
        <w:rPr>
          <w:rFonts w:ascii="Calibri" w:hAnsi="Calibri" w:cs="Calibri"/>
          <w:sz w:val="22"/>
          <w:szCs w:val="22"/>
        </w:rPr>
        <w:t>trenching</w:t>
      </w:r>
      <w:proofErr w:type="spellEnd"/>
      <w:r w:rsidRPr="00B77652">
        <w:rPr>
          <w:rFonts w:ascii="Calibri" w:hAnsi="Calibri" w:cs="Calibri"/>
          <w:sz w:val="22"/>
          <w:szCs w:val="22"/>
        </w:rPr>
        <w:t xml:space="preserve"> επί του οδοστρώματος αλλά και διέλευση σε πεζοδρόμιο (άρα και αποκατάσταση αυτού) όπως και είσοδο του καλωδίου στο κτίριο μέχρι το BEP. Επιπλέον, το ίδιο συνεργείο πραγματοποιεί και την εγκατάσταση του BEP. Το συνολικό κόστος της εργασίας αυτής είναι σημαντικά μεγαλύτερ</w:t>
      </w:r>
      <w:r>
        <w:rPr>
          <w:rFonts w:ascii="Calibri" w:hAnsi="Calibri" w:cs="Calibri"/>
          <w:sz w:val="22"/>
          <w:szCs w:val="22"/>
        </w:rPr>
        <w:t>η</w:t>
      </w:r>
      <w:r w:rsidRPr="00B77652">
        <w:rPr>
          <w:rFonts w:ascii="Calibri" w:hAnsi="Calibri" w:cs="Calibri"/>
          <w:sz w:val="22"/>
          <w:szCs w:val="22"/>
        </w:rPr>
        <w:t xml:space="preserve"> από το κόστος που υπολογίζει το μοντέλο</w:t>
      </w:r>
      <w:r>
        <w:rPr>
          <w:rFonts w:ascii="Calibri" w:hAnsi="Calibri" w:cs="Calibri"/>
          <w:sz w:val="22"/>
          <w:szCs w:val="22"/>
        </w:rPr>
        <w:t>.</w:t>
      </w:r>
    </w:p>
    <w:p w14:paraId="16FD9835" w14:textId="070C2E43" w:rsidR="001B37A5" w:rsidRDefault="00433EE1" w:rsidP="00433EE1">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διαφωνεί με τη χρήση του συντελεστή </w:t>
      </w:r>
      <w:r w:rsidRPr="00433EE1">
        <w:rPr>
          <w:rFonts w:ascii="Calibri" w:hAnsi="Calibri" w:cs="Calibri"/>
          <w:sz w:val="22"/>
          <w:szCs w:val="22"/>
        </w:rPr>
        <w:t>“</w:t>
      </w:r>
      <w:proofErr w:type="spellStart"/>
      <w:r w:rsidRPr="00433EE1">
        <w:rPr>
          <w:rFonts w:ascii="Calibri" w:hAnsi="Calibri" w:cs="Calibri"/>
          <w:sz w:val="22"/>
          <w:szCs w:val="22"/>
        </w:rPr>
        <w:t>Geotype</w:t>
      </w:r>
      <w:proofErr w:type="spellEnd"/>
      <w:r w:rsidRPr="00433EE1">
        <w:rPr>
          <w:rFonts w:ascii="Calibri" w:hAnsi="Calibri" w:cs="Calibri"/>
          <w:sz w:val="22"/>
          <w:szCs w:val="22"/>
        </w:rPr>
        <w:t xml:space="preserve"> </w:t>
      </w:r>
      <w:proofErr w:type="spellStart"/>
      <w:r w:rsidRPr="00433EE1">
        <w:rPr>
          <w:rFonts w:ascii="Calibri" w:hAnsi="Calibri" w:cs="Calibri"/>
          <w:sz w:val="22"/>
          <w:szCs w:val="22"/>
        </w:rPr>
        <w:t>Price</w:t>
      </w:r>
      <w:proofErr w:type="spellEnd"/>
      <w:r w:rsidRPr="00433EE1">
        <w:rPr>
          <w:rFonts w:ascii="Calibri" w:hAnsi="Calibri" w:cs="Calibri"/>
          <w:sz w:val="22"/>
          <w:szCs w:val="22"/>
        </w:rPr>
        <w:t xml:space="preserve"> </w:t>
      </w:r>
      <w:proofErr w:type="spellStart"/>
      <w:r w:rsidRPr="00433EE1">
        <w:rPr>
          <w:rFonts w:ascii="Calibri" w:hAnsi="Calibri" w:cs="Calibri"/>
          <w:sz w:val="22"/>
          <w:szCs w:val="22"/>
        </w:rPr>
        <w:t>Adjustment</w:t>
      </w:r>
      <w:proofErr w:type="spellEnd"/>
      <w:r w:rsidRPr="00433EE1">
        <w:rPr>
          <w:rFonts w:ascii="Calibri" w:hAnsi="Calibri" w:cs="Calibri"/>
          <w:sz w:val="22"/>
          <w:szCs w:val="22"/>
        </w:rPr>
        <w:t>”</w:t>
      </w:r>
      <w:r>
        <w:rPr>
          <w:rFonts w:ascii="Calibri" w:hAnsi="Calibri" w:cs="Calibri"/>
          <w:sz w:val="22"/>
          <w:szCs w:val="22"/>
        </w:rPr>
        <w:t xml:space="preserve">, </w:t>
      </w:r>
      <w:r w:rsidRPr="00433EE1">
        <w:rPr>
          <w:rFonts w:ascii="Calibri" w:hAnsi="Calibri" w:cs="Calibri"/>
          <w:sz w:val="22"/>
          <w:szCs w:val="22"/>
        </w:rPr>
        <w:t xml:space="preserve">καθώς οι τιμές που </w:t>
      </w:r>
      <w:r w:rsidR="00C81C4E">
        <w:rPr>
          <w:rFonts w:ascii="Calibri" w:hAnsi="Calibri" w:cs="Calibri"/>
          <w:sz w:val="22"/>
          <w:szCs w:val="22"/>
        </w:rPr>
        <w:t xml:space="preserve">έχουν υποβάλει οι πάροχοι και </w:t>
      </w:r>
      <w:r w:rsidRPr="00433EE1">
        <w:rPr>
          <w:rFonts w:ascii="Calibri" w:hAnsi="Calibri" w:cs="Calibri"/>
          <w:sz w:val="22"/>
          <w:szCs w:val="22"/>
        </w:rPr>
        <w:t>εμφανίζονται στο "</w:t>
      </w:r>
      <w:proofErr w:type="spellStart"/>
      <w:r w:rsidRPr="00433EE1">
        <w:rPr>
          <w:rFonts w:ascii="Calibri" w:hAnsi="Calibri" w:cs="Calibri"/>
          <w:sz w:val="22"/>
          <w:szCs w:val="22"/>
        </w:rPr>
        <w:t>Network_Elements</w:t>
      </w:r>
      <w:proofErr w:type="spellEnd"/>
      <w:r w:rsidRPr="00433EE1">
        <w:rPr>
          <w:rFonts w:ascii="Calibri" w:hAnsi="Calibri" w:cs="Calibri"/>
          <w:sz w:val="22"/>
          <w:szCs w:val="22"/>
        </w:rPr>
        <w:t xml:space="preserve">" είναι ήδη πανελλαδικές </w:t>
      </w:r>
      <w:proofErr w:type="spellStart"/>
      <w:r w:rsidR="00C81C4E">
        <w:rPr>
          <w:rFonts w:ascii="Calibri" w:hAnsi="Calibri" w:cs="Calibri"/>
          <w:sz w:val="22"/>
          <w:szCs w:val="22"/>
        </w:rPr>
        <w:t>μεσοσταθμικές</w:t>
      </w:r>
      <w:proofErr w:type="spellEnd"/>
      <w:r w:rsidRPr="00433EE1">
        <w:rPr>
          <w:rFonts w:ascii="Calibri" w:hAnsi="Calibri" w:cs="Calibri"/>
          <w:sz w:val="22"/>
          <w:szCs w:val="22"/>
        </w:rPr>
        <w:t xml:space="preserve"> τιμές, βασιζόμενες στα έργα που κάνουν, σε όλη την Ελλάδα</w:t>
      </w:r>
      <w:r w:rsidR="00C81C4E">
        <w:rPr>
          <w:rFonts w:ascii="Calibri" w:hAnsi="Calibri" w:cs="Calibri"/>
          <w:sz w:val="22"/>
          <w:szCs w:val="22"/>
        </w:rPr>
        <w:t>.</w:t>
      </w:r>
    </w:p>
    <w:p w14:paraId="33429B72" w14:textId="2DDD09C0" w:rsidR="00C81C4E" w:rsidRDefault="00C81C4E" w:rsidP="00C81C4E">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αναφέρει την ύπαρξη Α/Κ </w:t>
      </w:r>
      <w:r w:rsidRPr="00C81C4E">
        <w:rPr>
          <w:rFonts w:ascii="Calibri" w:hAnsi="Calibri" w:cs="Calibri"/>
          <w:sz w:val="22"/>
          <w:szCs w:val="22"/>
        </w:rPr>
        <w:t xml:space="preserve">όπου σε περιοχές </w:t>
      </w:r>
      <w:proofErr w:type="spellStart"/>
      <w:r w:rsidRPr="00C81C4E">
        <w:rPr>
          <w:rFonts w:ascii="Calibri" w:hAnsi="Calibri" w:cs="Calibri"/>
          <w:sz w:val="22"/>
          <w:szCs w:val="22"/>
        </w:rPr>
        <w:t>Subsidy</w:t>
      </w:r>
      <w:proofErr w:type="spellEnd"/>
      <w:r w:rsidRPr="00C81C4E">
        <w:rPr>
          <w:rFonts w:ascii="Calibri" w:hAnsi="Calibri" w:cs="Calibri"/>
          <w:sz w:val="22"/>
          <w:szCs w:val="22"/>
        </w:rPr>
        <w:t xml:space="preserve"> έχουν αναπτυχθεί υπηρεσίες FTTC</w:t>
      </w:r>
      <w:r>
        <w:rPr>
          <w:rFonts w:ascii="Calibri" w:hAnsi="Calibri" w:cs="Calibri"/>
          <w:sz w:val="22"/>
          <w:szCs w:val="22"/>
        </w:rPr>
        <w:t>, (</w:t>
      </w:r>
      <w:r w:rsidRPr="00C81C4E">
        <w:rPr>
          <w:rFonts w:ascii="Calibri" w:hAnsi="Calibri" w:cs="Calibri"/>
          <w:sz w:val="22"/>
          <w:szCs w:val="22"/>
        </w:rPr>
        <w:t>Α/Κ ΑΡΝΑΔΟΣ, Ε.ΠΕΖΩΝ και ΚΩΜΗΣ</w:t>
      </w:r>
      <w:r>
        <w:rPr>
          <w:rFonts w:ascii="Calibri" w:hAnsi="Calibri" w:cs="Calibri"/>
          <w:sz w:val="22"/>
          <w:szCs w:val="22"/>
        </w:rPr>
        <w:t xml:space="preserve">), ενώ υπάρχουν </w:t>
      </w:r>
      <w:r w:rsidRPr="00C81C4E">
        <w:rPr>
          <w:rFonts w:ascii="Calibri" w:hAnsi="Calibri" w:cs="Calibri"/>
          <w:sz w:val="22"/>
          <w:szCs w:val="22"/>
        </w:rPr>
        <w:t xml:space="preserve">Α/Κ όπου το συνολικό μήκος χαντακιού και καλωδίων που υπολογίζεται σε περιοχές </w:t>
      </w:r>
      <w:proofErr w:type="spellStart"/>
      <w:r w:rsidRPr="00C81C4E">
        <w:rPr>
          <w:rFonts w:ascii="Calibri" w:hAnsi="Calibri" w:cs="Calibri"/>
          <w:sz w:val="22"/>
          <w:szCs w:val="22"/>
        </w:rPr>
        <w:t>subsidy</w:t>
      </w:r>
      <w:proofErr w:type="spellEnd"/>
      <w:r w:rsidRPr="00C81C4E">
        <w:rPr>
          <w:rFonts w:ascii="Calibri" w:hAnsi="Calibri" w:cs="Calibri"/>
          <w:sz w:val="22"/>
          <w:szCs w:val="22"/>
        </w:rPr>
        <w:t xml:space="preserve"> είναι μεγαλύτερο από το συνολικό μήκος καλωδίων. </w:t>
      </w:r>
    </w:p>
    <w:p w14:paraId="1801DD5C" w14:textId="033CE9D0" w:rsidR="008E26D2" w:rsidRDefault="008E26D2" w:rsidP="00C81C4E">
      <w:pPr>
        <w:pStyle w:val="ab"/>
        <w:spacing w:before="143" w:line="259" w:lineRule="auto"/>
        <w:ind w:right="136"/>
        <w:rPr>
          <w:sz w:val="22"/>
          <w:szCs w:val="22"/>
        </w:rPr>
      </w:pPr>
      <w:r w:rsidRPr="008E26D2">
        <w:rPr>
          <w:rFonts w:ascii="Calibri" w:hAnsi="Calibri" w:cs="Calibri"/>
          <w:sz w:val="22"/>
          <w:szCs w:val="22"/>
        </w:rPr>
        <w:t xml:space="preserve">Ένας συμμετέχων </w:t>
      </w:r>
      <w:r w:rsidR="003C28FC">
        <w:rPr>
          <w:rFonts w:ascii="Calibri" w:hAnsi="Calibri" w:cs="Calibri"/>
          <w:sz w:val="22"/>
          <w:szCs w:val="22"/>
        </w:rPr>
        <w:t>(----)</w:t>
      </w:r>
      <w:r w:rsidRPr="008E26D2">
        <w:rPr>
          <w:rFonts w:ascii="Calibri" w:hAnsi="Calibri" w:cs="Calibri"/>
          <w:sz w:val="22"/>
          <w:szCs w:val="22"/>
        </w:rPr>
        <w:t xml:space="preserve"> επισημαίνει ότι το πραγματικό πλήθος των καμπινών FTTH, όπως υπολογίστηκαν από το GIS δύναται να είναι μεγαλύτερο από το εκτιμώμενο δεδομένου ότι επιλέγεται η ιδανική κατανομή διαδρομής των καλωδίων και προτείνει να αξιολογηθεί αν απαιτείται η εφαρμογή ενός ποσοστού προσαύξησης επί του εκτιμώμενου αριθμού καμπινών FTTH</w:t>
      </w:r>
      <w:r w:rsidRPr="00ED2742">
        <w:rPr>
          <w:sz w:val="22"/>
          <w:szCs w:val="22"/>
        </w:rPr>
        <w:t>.</w:t>
      </w:r>
    </w:p>
    <w:p w14:paraId="224AA535" w14:textId="1C2D530F" w:rsidR="00FB6755" w:rsidRPr="00FC342C" w:rsidRDefault="00FB6755" w:rsidP="00FB6755">
      <w:pPr>
        <w:pStyle w:val="Default"/>
        <w:spacing w:before="140" w:after="120"/>
        <w:rPr>
          <w:rFonts w:asciiTheme="minorHAnsi" w:hAnsiTheme="minorHAnsi" w:cstheme="minorHAnsi"/>
          <w:sz w:val="22"/>
          <w:szCs w:val="22"/>
        </w:rPr>
      </w:pPr>
      <w:r w:rsidRPr="000A3D41">
        <w:rPr>
          <w:rFonts w:asciiTheme="minorHAnsi" w:hAnsiTheme="minorHAnsi" w:cstheme="minorHAnsi"/>
          <w:sz w:val="22"/>
          <w:szCs w:val="22"/>
        </w:rPr>
        <w:t xml:space="preserve">Ένας συμμετέχων </w:t>
      </w:r>
      <w:r w:rsidR="003C28FC">
        <w:rPr>
          <w:rFonts w:asciiTheme="minorHAnsi" w:hAnsiTheme="minorHAnsi" w:cstheme="minorHAnsi"/>
          <w:sz w:val="22"/>
          <w:szCs w:val="22"/>
        </w:rPr>
        <w:t>(----)</w:t>
      </w:r>
      <w:r w:rsidRPr="00DD3B9F">
        <w:rPr>
          <w:rFonts w:asciiTheme="minorHAnsi" w:hAnsiTheme="minorHAnsi" w:cstheme="minorHAnsi"/>
          <w:sz w:val="22"/>
          <w:szCs w:val="22"/>
        </w:rPr>
        <w:t xml:space="preserve"> </w:t>
      </w:r>
      <w:r w:rsidRPr="000A3D41">
        <w:rPr>
          <w:rFonts w:asciiTheme="minorHAnsi" w:hAnsiTheme="minorHAnsi" w:cstheme="minorHAnsi"/>
          <w:sz w:val="22"/>
          <w:szCs w:val="22"/>
        </w:rPr>
        <w:t>παρατηρεί ότι υπάρχει σημαντική αύξηση στη διαστασιοποίηση (μήκος) των καλωδίων για το δίκτυο FTTH συγκριτικά με το εν ισχύ μοντέλο. Ειδικότερα σ</w:t>
      </w:r>
      <w:r w:rsidRPr="00FC342C">
        <w:rPr>
          <w:rFonts w:asciiTheme="minorHAnsi" w:hAnsiTheme="minorHAnsi" w:cstheme="minorHAnsi"/>
          <w:sz w:val="22"/>
          <w:szCs w:val="22"/>
        </w:rPr>
        <w:t xml:space="preserve">ε σχέση με το υφιστάμενο μοντέλο, το υπό διαβούλευση μοντέλο κάνει τις κάτωθι παραδοχές: </w:t>
      </w:r>
    </w:p>
    <w:p w14:paraId="24B09415" w14:textId="77777777" w:rsidR="00FB6755" w:rsidRPr="00691245" w:rsidRDefault="00FB6755" w:rsidP="00FB6755">
      <w:pPr>
        <w:pStyle w:val="ab"/>
        <w:numPr>
          <w:ilvl w:val="0"/>
          <w:numId w:val="14"/>
        </w:numPr>
        <w:spacing w:before="140" w:line="259" w:lineRule="auto"/>
        <w:ind w:left="765" w:right="136" w:hanging="360"/>
        <w:rPr>
          <w:rFonts w:ascii="Calibri" w:hAnsi="Calibri" w:cs="Calibri"/>
          <w:sz w:val="22"/>
          <w:szCs w:val="22"/>
        </w:rPr>
      </w:pPr>
      <w:r w:rsidRPr="00691245">
        <w:rPr>
          <w:rFonts w:ascii="Calibri" w:hAnsi="Calibri" w:cs="Calibri"/>
          <w:sz w:val="22"/>
          <w:szCs w:val="22"/>
        </w:rPr>
        <w:t>Παραδοχή για πάνω από είκοσι (20) φορές περισσότερα μέτρα καλωδίων οπτικών ινών στο δίκτυο διανομής (</w:t>
      </w:r>
      <w:proofErr w:type="spellStart"/>
      <w:r w:rsidRPr="00691245">
        <w:rPr>
          <w:rFonts w:ascii="Calibri" w:hAnsi="Calibri" w:cs="Calibri"/>
          <w:sz w:val="22"/>
          <w:szCs w:val="22"/>
        </w:rPr>
        <w:t>distribution</w:t>
      </w:r>
      <w:proofErr w:type="spellEnd"/>
      <w:r w:rsidRPr="00691245">
        <w:rPr>
          <w:rFonts w:ascii="Calibri" w:hAnsi="Calibri" w:cs="Calibri"/>
          <w:sz w:val="22"/>
          <w:szCs w:val="22"/>
        </w:rPr>
        <w:t xml:space="preserve"> </w:t>
      </w:r>
      <w:proofErr w:type="spellStart"/>
      <w:r w:rsidRPr="00691245">
        <w:rPr>
          <w:rFonts w:ascii="Calibri" w:hAnsi="Calibri" w:cs="Calibri"/>
          <w:sz w:val="22"/>
          <w:szCs w:val="22"/>
        </w:rPr>
        <w:t>network</w:t>
      </w:r>
      <w:proofErr w:type="spellEnd"/>
      <w:r w:rsidRPr="00691245">
        <w:rPr>
          <w:rFonts w:ascii="Calibri" w:hAnsi="Calibri" w:cs="Calibri"/>
          <w:sz w:val="22"/>
          <w:szCs w:val="22"/>
        </w:rPr>
        <w:t>) σε επίπεδο κτηρίων με δυνατότητα σύνδεσης σε δίκτυο FTTH (</w:t>
      </w:r>
      <w:proofErr w:type="spellStart"/>
      <w:r w:rsidRPr="00691245">
        <w:rPr>
          <w:rFonts w:ascii="Calibri" w:hAnsi="Calibri" w:cs="Calibri"/>
          <w:sz w:val="22"/>
          <w:szCs w:val="22"/>
        </w:rPr>
        <w:t>premises</w:t>
      </w:r>
      <w:proofErr w:type="spellEnd"/>
      <w:r w:rsidRPr="00691245">
        <w:rPr>
          <w:rFonts w:ascii="Calibri" w:hAnsi="Calibri" w:cs="Calibri"/>
          <w:sz w:val="22"/>
          <w:szCs w:val="22"/>
        </w:rPr>
        <w:t xml:space="preserve"> </w:t>
      </w:r>
      <w:proofErr w:type="spellStart"/>
      <w:r w:rsidRPr="00691245">
        <w:rPr>
          <w:rFonts w:ascii="Calibri" w:hAnsi="Calibri" w:cs="Calibri"/>
          <w:sz w:val="22"/>
          <w:szCs w:val="22"/>
        </w:rPr>
        <w:t>passed</w:t>
      </w:r>
      <w:proofErr w:type="spellEnd"/>
      <w:r w:rsidRPr="00691245">
        <w:rPr>
          <w:rFonts w:ascii="Calibri" w:hAnsi="Calibri" w:cs="Calibri"/>
          <w:sz w:val="22"/>
          <w:szCs w:val="22"/>
        </w:rPr>
        <w:t xml:space="preserve">). </w:t>
      </w:r>
    </w:p>
    <w:p w14:paraId="252DBB74" w14:textId="77777777" w:rsidR="00FB6755" w:rsidRPr="00691245" w:rsidRDefault="00FB6755" w:rsidP="00FB6755">
      <w:pPr>
        <w:pStyle w:val="ab"/>
        <w:numPr>
          <w:ilvl w:val="0"/>
          <w:numId w:val="14"/>
        </w:numPr>
        <w:spacing w:before="140" w:line="259" w:lineRule="auto"/>
        <w:ind w:left="765" w:right="136" w:hanging="360"/>
        <w:rPr>
          <w:rFonts w:ascii="Calibri" w:hAnsi="Calibri" w:cs="Calibri"/>
          <w:sz w:val="22"/>
          <w:szCs w:val="22"/>
        </w:rPr>
      </w:pPr>
      <w:r w:rsidRPr="00691245">
        <w:rPr>
          <w:rFonts w:ascii="Calibri" w:hAnsi="Calibri" w:cs="Calibri"/>
          <w:sz w:val="22"/>
          <w:szCs w:val="22"/>
        </w:rPr>
        <w:lastRenderedPageBreak/>
        <w:t>Παραδοχή για πάνω από πέντε (5) φορές περισσότερα τρέχοντα μέτρα οπτικών ινών (</w:t>
      </w:r>
      <w:proofErr w:type="spellStart"/>
      <w:r w:rsidRPr="00691245">
        <w:rPr>
          <w:rFonts w:ascii="Calibri" w:hAnsi="Calibri" w:cs="Calibri"/>
          <w:sz w:val="22"/>
          <w:szCs w:val="22"/>
        </w:rPr>
        <w:t>strand</w:t>
      </w:r>
      <w:proofErr w:type="spellEnd"/>
      <w:r w:rsidRPr="00691245">
        <w:rPr>
          <w:rFonts w:ascii="Calibri" w:hAnsi="Calibri" w:cs="Calibri"/>
          <w:sz w:val="22"/>
          <w:szCs w:val="22"/>
        </w:rPr>
        <w:t xml:space="preserve"> </w:t>
      </w:r>
      <w:proofErr w:type="spellStart"/>
      <w:r w:rsidRPr="00691245">
        <w:rPr>
          <w:rFonts w:ascii="Calibri" w:hAnsi="Calibri" w:cs="Calibri"/>
          <w:sz w:val="22"/>
          <w:szCs w:val="22"/>
        </w:rPr>
        <w:t>metres</w:t>
      </w:r>
      <w:proofErr w:type="spellEnd"/>
      <w:r w:rsidRPr="00691245">
        <w:rPr>
          <w:rFonts w:ascii="Calibri" w:hAnsi="Calibri" w:cs="Calibri"/>
          <w:sz w:val="22"/>
          <w:szCs w:val="22"/>
        </w:rPr>
        <w:t xml:space="preserve"> of </w:t>
      </w:r>
      <w:proofErr w:type="spellStart"/>
      <w:r w:rsidRPr="00691245">
        <w:rPr>
          <w:rFonts w:ascii="Calibri" w:hAnsi="Calibri" w:cs="Calibri"/>
          <w:sz w:val="22"/>
          <w:szCs w:val="22"/>
        </w:rPr>
        <w:t>fibre</w:t>
      </w:r>
      <w:proofErr w:type="spellEnd"/>
      <w:r w:rsidRPr="00691245">
        <w:rPr>
          <w:rFonts w:ascii="Calibri" w:hAnsi="Calibri" w:cs="Calibri"/>
          <w:sz w:val="22"/>
          <w:szCs w:val="22"/>
        </w:rPr>
        <w:t>) στο δίκτυο διανομής (</w:t>
      </w:r>
      <w:proofErr w:type="spellStart"/>
      <w:r w:rsidRPr="00691245">
        <w:rPr>
          <w:rFonts w:ascii="Calibri" w:hAnsi="Calibri" w:cs="Calibri"/>
          <w:sz w:val="22"/>
          <w:szCs w:val="22"/>
        </w:rPr>
        <w:t>distribution</w:t>
      </w:r>
      <w:proofErr w:type="spellEnd"/>
      <w:r w:rsidRPr="00691245">
        <w:rPr>
          <w:rFonts w:ascii="Calibri" w:hAnsi="Calibri" w:cs="Calibri"/>
          <w:sz w:val="22"/>
          <w:szCs w:val="22"/>
        </w:rPr>
        <w:t xml:space="preserve"> </w:t>
      </w:r>
      <w:proofErr w:type="spellStart"/>
      <w:r w:rsidRPr="00691245">
        <w:rPr>
          <w:rFonts w:ascii="Calibri" w:hAnsi="Calibri" w:cs="Calibri"/>
          <w:sz w:val="22"/>
          <w:szCs w:val="22"/>
        </w:rPr>
        <w:t>network</w:t>
      </w:r>
      <w:proofErr w:type="spellEnd"/>
      <w:r w:rsidRPr="00691245">
        <w:rPr>
          <w:rFonts w:ascii="Calibri" w:hAnsi="Calibri" w:cs="Calibri"/>
          <w:sz w:val="22"/>
          <w:szCs w:val="22"/>
        </w:rPr>
        <w:t>) σε επίπεδο κτηρίων με δυνατότητα σύνδεσης σε δίκτυο FTTH (</w:t>
      </w:r>
      <w:proofErr w:type="spellStart"/>
      <w:r w:rsidRPr="00691245">
        <w:rPr>
          <w:rFonts w:ascii="Calibri" w:hAnsi="Calibri" w:cs="Calibri"/>
          <w:sz w:val="22"/>
          <w:szCs w:val="22"/>
        </w:rPr>
        <w:t>premises</w:t>
      </w:r>
      <w:proofErr w:type="spellEnd"/>
      <w:r w:rsidRPr="00691245">
        <w:rPr>
          <w:rFonts w:ascii="Calibri" w:hAnsi="Calibri" w:cs="Calibri"/>
          <w:sz w:val="22"/>
          <w:szCs w:val="22"/>
        </w:rPr>
        <w:t xml:space="preserve"> </w:t>
      </w:r>
      <w:proofErr w:type="spellStart"/>
      <w:r w:rsidRPr="00691245">
        <w:rPr>
          <w:rFonts w:ascii="Calibri" w:hAnsi="Calibri" w:cs="Calibri"/>
          <w:sz w:val="22"/>
          <w:szCs w:val="22"/>
        </w:rPr>
        <w:t>passed</w:t>
      </w:r>
      <w:proofErr w:type="spellEnd"/>
      <w:r w:rsidRPr="00691245">
        <w:rPr>
          <w:rFonts w:ascii="Calibri" w:hAnsi="Calibri" w:cs="Calibri"/>
          <w:sz w:val="22"/>
          <w:szCs w:val="22"/>
        </w:rPr>
        <w:t xml:space="preserve">). </w:t>
      </w:r>
    </w:p>
    <w:p w14:paraId="672C5BCA" w14:textId="77777777" w:rsidR="00FB6755" w:rsidRPr="000A3D41" w:rsidRDefault="00FB6755" w:rsidP="00FB6755">
      <w:pPr>
        <w:pStyle w:val="Default"/>
        <w:spacing w:before="140" w:after="120"/>
        <w:rPr>
          <w:rFonts w:asciiTheme="minorHAnsi" w:hAnsiTheme="minorHAnsi" w:cstheme="minorHAnsi"/>
          <w:sz w:val="22"/>
          <w:szCs w:val="22"/>
        </w:rPr>
      </w:pPr>
      <w:r w:rsidRPr="000A3D41">
        <w:rPr>
          <w:rFonts w:asciiTheme="minorHAnsi" w:hAnsiTheme="minorHAnsi" w:cstheme="minorHAnsi"/>
          <w:sz w:val="22"/>
          <w:szCs w:val="22"/>
        </w:rPr>
        <w:t>Οι ως άνω αναλογίες για το σχεδιασμό του δικτύου FTTH είναι σημαντικά υψηλότερες από αυτές του αντίστοιχου σχεδιασμού για τα δίκτυα χαλκού και FTTC τόσο στο υπό διαβούλευση, όσο και στο υφιστάμενο μοντέλο. Η</w:t>
      </w:r>
      <w:r w:rsidRPr="00DD3B9F">
        <w:rPr>
          <w:rFonts w:asciiTheme="minorHAnsi" w:hAnsiTheme="minorHAnsi" w:cstheme="minorHAnsi"/>
          <w:sz w:val="22"/>
          <w:szCs w:val="22"/>
        </w:rPr>
        <w:t xml:space="preserve"> </w:t>
      </w:r>
      <w:r w:rsidRPr="000A3D41">
        <w:rPr>
          <w:rFonts w:asciiTheme="minorHAnsi" w:hAnsiTheme="minorHAnsi" w:cstheme="minorHAnsi"/>
          <w:sz w:val="22"/>
          <w:szCs w:val="22"/>
        </w:rPr>
        <w:t xml:space="preserve">προτεινόμενη τοπολογία της ΕΕΤΤ εγείρει πολλά ερωτήματα αναφορικά με την </w:t>
      </w:r>
      <w:proofErr w:type="spellStart"/>
      <w:r w:rsidRPr="000A3D41">
        <w:rPr>
          <w:rFonts w:asciiTheme="minorHAnsi" w:hAnsiTheme="minorHAnsi" w:cstheme="minorHAnsi"/>
          <w:sz w:val="22"/>
          <w:szCs w:val="22"/>
        </w:rPr>
        <w:t>εφικτότητά</w:t>
      </w:r>
      <w:proofErr w:type="spellEnd"/>
      <w:r w:rsidRPr="000A3D41">
        <w:rPr>
          <w:rFonts w:asciiTheme="minorHAnsi" w:hAnsiTheme="minorHAnsi" w:cstheme="minorHAnsi"/>
          <w:sz w:val="22"/>
          <w:szCs w:val="22"/>
        </w:rPr>
        <w:t xml:space="preserve"> της στις περιπτώσεις καμπινών που καλύπτουν μεγάλη έκταση και μεγάλο πλήθος κτηρίων, καθώς ο αριθμός καλωδίων που απαιτούνται καθίσταται τεράστιος, ενώ συνακόλουθα απαιτούνται επιπρόσθετοι αγωγοί και είναι πιθανόν να υπάρξει ζήτημα χώρου στους προβλεπόμενους χώρους διαχείρισης ή όδευσης καλωδίων της καμπίνας.</w:t>
      </w:r>
    </w:p>
    <w:p w14:paraId="0A1C2730" w14:textId="4D0D0B1B" w:rsidR="00FB6755" w:rsidRPr="000A3D41" w:rsidRDefault="00FB6755" w:rsidP="00FB6755">
      <w:pPr>
        <w:pStyle w:val="Default"/>
        <w:spacing w:before="140" w:after="120"/>
        <w:rPr>
          <w:rFonts w:asciiTheme="minorHAnsi" w:hAnsiTheme="minorHAnsi" w:cstheme="minorHAnsi"/>
          <w:sz w:val="22"/>
          <w:szCs w:val="22"/>
        </w:rPr>
      </w:pPr>
      <w:r w:rsidRPr="000A3D41">
        <w:rPr>
          <w:rFonts w:asciiTheme="minorHAnsi" w:hAnsiTheme="minorHAnsi" w:cstheme="minorHAnsi"/>
          <w:sz w:val="22"/>
          <w:szCs w:val="22"/>
        </w:rPr>
        <w:t xml:space="preserve">Ο ίδιος συμμετέχων προτείνει </w:t>
      </w:r>
      <w:r>
        <w:rPr>
          <w:rFonts w:asciiTheme="minorHAnsi" w:hAnsiTheme="minorHAnsi" w:cstheme="minorHAnsi"/>
          <w:sz w:val="22"/>
          <w:szCs w:val="22"/>
        </w:rPr>
        <w:t>μ</w:t>
      </w:r>
      <w:r w:rsidRPr="000A3D41">
        <w:rPr>
          <w:rFonts w:asciiTheme="minorHAnsi" w:hAnsiTheme="minorHAnsi" w:cstheme="minorHAnsi"/>
          <w:sz w:val="22"/>
          <w:szCs w:val="22"/>
        </w:rPr>
        <w:t>ία προσέγγιση «σταδιακής στένωσης της ίνας (</w:t>
      </w:r>
      <w:proofErr w:type="spellStart"/>
      <w:r w:rsidRPr="000A3D41">
        <w:rPr>
          <w:rFonts w:asciiTheme="minorHAnsi" w:hAnsiTheme="minorHAnsi" w:cstheme="minorHAnsi"/>
          <w:sz w:val="22"/>
          <w:szCs w:val="22"/>
        </w:rPr>
        <w:t>tapering</w:t>
      </w:r>
      <w:proofErr w:type="spellEnd"/>
      <w:r w:rsidRPr="000A3D41">
        <w:rPr>
          <w:rFonts w:asciiTheme="minorHAnsi" w:hAnsiTheme="minorHAnsi" w:cstheme="minorHAnsi"/>
          <w:sz w:val="22"/>
          <w:szCs w:val="22"/>
        </w:rPr>
        <w:t>)»</w:t>
      </w:r>
      <w:r>
        <w:rPr>
          <w:rFonts w:asciiTheme="minorHAnsi" w:hAnsiTheme="minorHAnsi" w:cstheme="minorHAnsi"/>
          <w:sz w:val="22"/>
          <w:szCs w:val="22"/>
        </w:rPr>
        <w:t xml:space="preserve"> ως προς την τοπολογία</w:t>
      </w:r>
      <w:r w:rsidRPr="000A3D41">
        <w:rPr>
          <w:rFonts w:asciiTheme="minorHAnsi" w:hAnsiTheme="minorHAnsi" w:cstheme="minorHAnsi"/>
          <w:sz w:val="22"/>
          <w:szCs w:val="22"/>
        </w:rPr>
        <w:t xml:space="preserve">. Αυτό μπορεί να γίνει: </w:t>
      </w:r>
    </w:p>
    <w:p w14:paraId="7518141B" w14:textId="77777777" w:rsidR="00FB6755" w:rsidRPr="00FB6755" w:rsidRDefault="00FB6755" w:rsidP="00FB6755">
      <w:pPr>
        <w:pStyle w:val="ab"/>
        <w:numPr>
          <w:ilvl w:val="0"/>
          <w:numId w:val="14"/>
        </w:numPr>
        <w:spacing w:before="140" w:line="259" w:lineRule="auto"/>
        <w:ind w:left="765" w:right="136" w:hanging="360"/>
        <w:rPr>
          <w:rFonts w:ascii="Calibri" w:hAnsi="Calibri" w:cs="Calibri"/>
          <w:sz w:val="22"/>
          <w:szCs w:val="22"/>
        </w:rPr>
      </w:pPr>
      <w:r w:rsidRPr="00FB6755">
        <w:rPr>
          <w:rFonts w:ascii="Calibri" w:hAnsi="Calibri" w:cs="Calibri"/>
          <w:sz w:val="22"/>
          <w:szCs w:val="22"/>
        </w:rPr>
        <w:t xml:space="preserve">Είτε με τη χρήση κοινών καλωδίων σε ενδιάμεσα σημεία κατά μήκος της διαδρομής της ίνας και συγκέντρωση των ινών σε μεγαλύτερα καλώδια που καταλήγουν στη καμπίνα. </w:t>
      </w:r>
    </w:p>
    <w:p w14:paraId="37C84E70" w14:textId="77777777" w:rsidR="00FB6755" w:rsidRPr="00FB6755" w:rsidRDefault="00FB6755" w:rsidP="00FB6755">
      <w:pPr>
        <w:pStyle w:val="ab"/>
        <w:numPr>
          <w:ilvl w:val="0"/>
          <w:numId w:val="14"/>
        </w:numPr>
        <w:spacing w:before="140" w:line="259" w:lineRule="auto"/>
        <w:ind w:left="765" w:right="136" w:hanging="360"/>
        <w:rPr>
          <w:rFonts w:ascii="Calibri" w:hAnsi="Calibri" w:cs="Calibri"/>
          <w:sz w:val="22"/>
          <w:szCs w:val="22"/>
        </w:rPr>
      </w:pPr>
      <w:r w:rsidRPr="00FB6755">
        <w:rPr>
          <w:rFonts w:ascii="Calibri" w:hAnsi="Calibri" w:cs="Calibri"/>
          <w:sz w:val="22"/>
          <w:szCs w:val="22"/>
        </w:rPr>
        <w:t>Είτε με τη χρήση ενός μεγάλου καλωδίου (π.χ. 96 ινών) σε ένα φρεάτιο κατά μήκος του δρόμου και σε κάθε σημείο όπου υπάρχει κουτί διαχωριστή να χρησιμοποιείται ένα υποσύνολο των ινών (πχ 1-32 ίνες) για τα σημεία τερματισμού στα κτήρια και μία από τις υπολειπόμενες να χρησιμοποιηθεί για τη γραμμή τροφοδοσίας διαχωριστή (</w:t>
      </w:r>
      <w:proofErr w:type="spellStart"/>
      <w:r w:rsidRPr="00FB6755">
        <w:rPr>
          <w:rFonts w:ascii="Calibri" w:hAnsi="Calibri" w:cs="Calibri"/>
          <w:sz w:val="22"/>
          <w:szCs w:val="22"/>
        </w:rPr>
        <w:t>splitter</w:t>
      </w:r>
      <w:proofErr w:type="spellEnd"/>
      <w:r w:rsidRPr="00FB6755">
        <w:rPr>
          <w:rFonts w:ascii="Calibri" w:hAnsi="Calibri" w:cs="Calibri"/>
          <w:sz w:val="22"/>
          <w:szCs w:val="22"/>
        </w:rPr>
        <w:t xml:space="preserve"> </w:t>
      </w:r>
      <w:proofErr w:type="spellStart"/>
      <w:r w:rsidRPr="00FB6755">
        <w:rPr>
          <w:rFonts w:ascii="Calibri" w:hAnsi="Calibri" w:cs="Calibri"/>
          <w:sz w:val="22"/>
          <w:szCs w:val="22"/>
        </w:rPr>
        <w:t>feed</w:t>
      </w:r>
      <w:proofErr w:type="spellEnd"/>
      <w:r w:rsidRPr="00FB6755">
        <w:rPr>
          <w:rFonts w:ascii="Calibri" w:hAnsi="Calibri" w:cs="Calibri"/>
          <w:sz w:val="22"/>
          <w:szCs w:val="22"/>
        </w:rPr>
        <w:t xml:space="preserve">). </w:t>
      </w:r>
    </w:p>
    <w:p w14:paraId="3AA9A644" w14:textId="77777777" w:rsidR="00FB6755" w:rsidRPr="00105DF8" w:rsidRDefault="00FB6755" w:rsidP="00FB6755">
      <w:pPr>
        <w:pStyle w:val="Default"/>
        <w:spacing w:before="140" w:after="120"/>
        <w:rPr>
          <w:rFonts w:asciiTheme="minorHAnsi" w:hAnsiTheme="minorHAnsi" w:cstheme="minorHAnsi"/>
          <w:sz w:val="22"/>
          <w:szCs w:val="22"/>
        </w:rPr>
      </w:pPr>
      <w:r w:rsidRPr="000A3D41">
        <w:rPr>
          <w:rFonts w:asciiTheme="minorHAnsi" w:hAnsiTheme="minorHAnsi" w:cstheme="minorHAnsi"/>
          <w:sz w:val="22"/>
          <w:szCs w:val="22"/>
        </w:rPr>
        <w:t>Επιπροσθέτως, σημειώνει ότι δε δύναται να γίνεται η παραδοχή ότι οι εφεδρικές ίνες στα καλώδια του δικτύου διανομής χρησιμοποιούνται για τη παροχή υπηρεσιών πρόσβασης σε φυσική υποδομή (όπως σκοτεινή ίνα (</w:t>
      </w:r>
      <w:proofErr w:type="spellStart"/>
      <w:r w:rsidRPr="000A3D41">
        <w:rPr>
          <w:rFonts w:asciiTheme="minorHAnsi" w:hAnsiTheme="minorHAnsi" w:cstheme="minorHAnsi"/>
          <w:sz w:val="22"/>
          <w:szCs w:val="22"/>
        </w:rPr>
        <w:t>dark</w:t>
      </w:r>
      <w:proofErr w:type="spellEnd"/>
      <w:r w:rsidRPr="000A3D41">
        <w:rPr>
          <w:rFonts w:asciiTheme="minorHAnsi" w:hAnsiTheme="minorHAnsi" w:cstheme="minorHAnsi"/>
          <w:sz w:val="22"/>
          <w:szCs w:val="22"/>
        </w:rPr>
        <w:t xml:space="preserve"> </w:t>
      </w:r>
      <w:proofErr w:type="spellStart"/>
      <w:r w:rsidRPr="000A3D41">
        <w:rPr>
          <w:rFonts w:asciiTheme="minorHAnsi" w:hAnsiTheme="minorHAnsi" w:cstheme="minorHAnsi"/>
          <w:sz w:val="22"/>
          <w:szCs w:val="22"/>
        </w:rPr>
        <w:t>fiber</w:t>
      </w:r>
      <w:proofErr w:type="spellEnd"/>
      <w:r w:rsidRPr="000A3D41">
        <w:rPr>
          <w:rFonts w:asciiTheme="minorHAnsi" w:hAnsiTheme="minorHAnsi" w:cstheme="minorHAnsi"/>
          <w:sz w:val="22"/>
          <w:szCs w:val="22"/>
        </w:rPr>
        <w:t>) στο δίκτυο διανομής), καθώς οι εν λόγω υπηρεσίες έχουν μία πλασματική ζήτηση και ως εκ τούτου δεν καταναλώνουν δικτυακούς πόρους στο υπό διαβούλευση μοντέλο. Σε περίπτωση που οι συγκεκριμένες ίνες επρόκειτο να χρησιμοποιηθούν για υπηρεσίες πρόσβασης σε φυσική υποδομή, τότε τα σχετικά κόστη δε θα έπρεπε να επιμεριστούν στις υπηρεσίες χονδρικής πρόσβασης.</w:t>
      </w:r>
    </w:p>
    <w:p w14:paraId="169DAE3D" w14:textId="2C858E69" w:rsidR="00573679" w:rsidRPr="00FB6755" w:rsidRDefault="00FB6755" w:rsidP="00FB6755">
      <w:pPr>
        <w:pStyle w:val="Default"/>
        <w:spacing w:before="140" w:after="120"/>
        <w:rPr>
          <w:rFonts w:asciiTheme="minorHAnsi" w:hAnsiTheme="minorHAnsi" w:cstheme="minorHAnsi"/>
          <w:sz w:val="22"/>
          <w:szCs w:val="22"/>
        </w:rPr>
      </w:pPr>
      <w:r w:rsidRPr="00FB6755">
        <w:rPr>
          <w:rFonts w:asciiTheme="minorHAnsi" w:hAnsiTheme="minorHAnsi" w:cstheme="minorHAnsi"/>
          <w:sz w:val="22"/>
          <w:szCs w:val="22"/>
        </w:rPr>
        <w:t xml:space="preserve">Τέλος, ο ίδιος συμμετέχοντας </w:t>
      </w:r>
      <w:r w:rsidRPr="000A3D41">
        <w:rPr>
          <w:rFonts w:asciiTheme="minorHAnsi" w:hAnsiTheme="minorHAnsi" w:cstheme="minorHAnsi"/>
          <w:sz w:val="22"/>
          <w:szCs w:val="22"/>
        </w:rPr>
        <w:t xml:space="preserve">επισημαίνει ότι η ΕΕΤΤ πρέπει να διαθέσει στην αγορά αρχείο με τις διαδρομές </w:t>
      </w:r>
      <w:proofErr w:type="spellStart"/>
      <w:r w:rsidRPr="000A3D41">
        <w:rPr>
          <w:rFonts w:asciiTheme="minorHAnsi" w:hAnsiTheme="minorHAnsi" w:cstheme="minorHAnsi"/>
          <w:sz w:val="22"/>
          <w:szCs w:val="22"/>
        </w:rPr>
        <w:t>χαντακίων</w:t>
      </w:r>
      <w:proofErr w:type="spellEnd"/>
      <w:r w:rsidRPr="000A3D41">
        <w:rPr>
          <w:rFonts w:asciiTheme="minorHAnsi" w:hAnsiTheme="minorHAnsi" w:cstheme="minorHAnsi"/>
          <w:sz w:val="22"/>
          <w:szCs w:val="22"/>
        </w:rPr>
        <w:t xml:space="preserve"> και καλωδιώσεων τάσσοντας μια ολιγοήμερη προθεσμία για τυχόν συμπληρωματικό σχολιασμό, προκειμένου να διευκολυνθεί ο έλεγχος και η αξιολόγηση των σχετικών διαδρομών και να διασφαλιστεί η απαιτούμενη διαφάνεια</w:t>
      </w:r>
      <w:r>
        <w:rPr>
          <w:rFonts w:asciiTheme="minorHAnsi" w:hAnsiTheme="minorHAnsi" w:cstheme="minorHAnsi"/>
          <w:sz w:val="22"/>
          <w:szCs w:val="22"/>
        </w:rPr>
        <w:t>.</w:t>
      </w:r>
    </w:p>
    <w:p w14:paraId="06EA146E"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5D1E7708" w14:textId="3213E6DC"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7D5E21">
        <w:rPr>
          <w:rFonts w:ascii="Calibri" w:hAnsi="Calibri" w:cs="Calibri"/>
          <w:b/>
          <w:color w:val="1F4E79" w:themeColor="accent1" w:themeShade="80"/>
          <w:sz w:val="22"/>
          <w:szCs w:val="22"/>
          <w:u w:val="single"/>
        </w:rPr>
        <w:t>10</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08F10B72" w14:textId="32EB6654" w:rsidR="00B21103" w:rsidRDefault="003D3FCB" w:rsidP="00B21103">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Αναφορικά με αστοχίες στον υπολογισμό μήκους σε συγκεκριμένα επαρχιακά ΑΚ, η ΕΕΤΤ προχώρησε σε συνολικό επανέλεγχο των αποτελεσμάτων του </w:t>
      </w:r>
      <w:r>
        <w:rPr>
          <w:rFonts w:ascii="Calibri" w:hAnsi="Calibri" w:cs="Calibri"/>
          <w:color w:val="1F4E79" w:themeColor="accent1" w:themeShade="80"/>
          <w:sz w:val="22"/>
          <w:szCs w:val="22"/>
          <w:lang w:val="en-US"/>
        </w:rPr>
        <w:t>GIS</w:t>
      </w:r>
      <w:r>
        <w:rPr>
          <w:rFonts w:ascii="Calibri" w:hAnsi="Calibri" w:cs="Calibri"/>
          <w:color w:val="1F4E79" w:themeColor="accent1" w:themeShade="80"/>
          <w:sz w:val="22"/>
          <w:szCs w:val="22"/>
        </w:rPr>
        <w:t xml:space="preserve">, με αποτέλεσμα τη διόρθωση ορισμένων μεμονωμένων περιπτώσεων, χωρίς όμως αισθητή διαφορά στα τελικά αποτελέσματα των τιμών του μοντέλου. Επισημαίνεται ότι τόσο το πλήθος των </w:t>
      </w:r>
      <w:r>
        <w:rPr>
          <w:rFonts w:ascii="Calibri" w:hAnsi="Calibri" w:cs="Calibri"/>
          <w:color w:val="1F4E79" w:themeColor="accent1" w:themeShade="80"/>
          <w:sz w:val="22"/>
          <w:szCs w:val="22"/>
          <w:lang w:val="en-US"/>
        </w:rPr>
        <w:t>FTTH</w:t>
      </w:r>
      <w:r w:rsidRPr="003D3FCB">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καμπινών, όσο και το πλήθος των χαντακιών και των αντίστοιχων καλωδίων υπολογίστηκ</w:t>
      </w:r>
      <w:r w:rsidR="001A3AF4">
        <w:rPr>
          <w:rFonts w:ascii="Calibri" w:hAnsi="Calibri" w:cs="Calibri"/>
          <w:color w:val="1F4E79" w:themeColor="accent1" w:themeShade="80"/>
          <w:sz w:val="22"/>
          <w:szCs w:val="22"/>
        </w:rPr>
        <w:t>αν</w:t>
      </w:r>
      <w:r>
        <w:rPr>
          <w:rFonts w:ascii="Calibri" w:hAnsi="Calibri" w:cs="Calibri"/>
          <w:color w:val="1F4E79" w:themeColor="accent1" w:themeShade="80"/>
          <w:sz w:val="22"/>
          <w:szCs w:val="22"/>
        </w:rPr>
        <w:t xml:space="preserve"> με αποδοτικό τρόπο βάσει των αλγορίθμων που περιγράφονται στο κείμενο Δημόσιας Διαβούλευσης του μοντέλου.</w:t>
      </w:r>
      <w:r w:rsidR="00B21103" w:rsidRPr="00B21103">
        <w:rPr>
          <w:rFonts w:ascii="Calibri" w:hAnsi="Calibri" w:cs="Calibri"/>
          <w:color w:val="1F4E79" w:themeColor="accent1" w:themeShade="80"/>
          <w:sz w:val="22"/>
          <w:szCs w:val="22"/>
        </w:rPr>
        <w:t xml:space="preserve"> </w:t>
      </w:r>
      <w:r w:rsidR="00B21103">
        <w:rPr>
          <w:rFonts w:ascii="Calibri" w:hAnsi="Calibri" w:cs="Calibri"/>
          <w:color w:val="1F4E79" w:themeColor="accent1" w:themeShade="80"/>
          <w:sz w:val="22"/>
          <w:szCs w:val="22"/>
        </w:rPr>
        <w:t xml:space="preserve">Επίσης ελήφθησαν υπόψη όλες οι τεχνικές προδιαγραφές για </w:t>
      </w:r>
      <w:r w:rsidR="00B21103">
        <w:rPr>
          <w:rFonts w:ascii="Calibri" w:hAnsi="Calibri" w:cs="Calibri"/>
          <w:color w:val="1F4E79" w:themeColor="accent1" w:themeShade="80"/>
          <w:sz w:val="22"/>
          <w:szCs w:val="22"/>
        </w:rPr>
        <w:lastRenderedPageBreak/>
        <w:t>το πλήθος ινών ανά καμπίνα, την</w:t>
      </w:r>
      <w:r w:rsidR="00B21103" w:rsidRPr="003D3FCB">
        <w:rPr>
          <w:rFonts w:ascii="Calibri" w:hAnsi="Calibri" w:cs="Calibri"/>
          <w:color w:val="1F4E79" w:themeColor="accent1" w:themeShade="80"/>
          <w:sz w:val="22"/>
          <w:szCs w:val="22"/>
        </w:rPr>
        <w:t xml:space="preserve"> </w:t>
      </w:r>
      <w:r w:rsidR="00B21103">
        <w:rPr>
          <w:rFonts w:ascii="Calibri" w:hAnsi="Calibri" w:cs="Calibri"/>
          <w:color w:val="1F4E79" w:themeColor="accent1" w:themeShade="80"/>
          <w:sz w:val="22"/>
          <w:szCs w:val="22"/>
        </w:rPr>
        <w:t xml:space="preserve">μέση αναλογία νέων καμπινών </w:t>
      </w:r>
      <w:r w:rsidR="00B21103">
        <w:rPr>
          <w:rFonts w:ascii="Calibri" w:hAnsi="Calibri" w:cs="Calibri"/>
          <w:color w:val="1F4E79" w:themeColor="accent1" w:themeShade="80"/>
          <w:sz w:val="22"/>
          <w:szCs w:val="22"/>
          <w:lang w:val="en-US"/>
        </w:rPr>
        <w:t>FTTH</w:t>
      </w:r>
      <w:r w:rsidR="00B21103">
        <w:rPr>
          <w:rFonts w:ascii="Calibri" w:hAnsi="Calibri" w:cs="Calibri"/>
          <w:color w:val="1F4E79" w:themeColor="accent1" w:themeShade="80"/>
          <w:sz w:val="22"/>
          <w:szCs w:val="22"/>
        </w:rPr>
        <w:t xml:space="preserve"> προς τις παλ</w:t>
      </w:r>
      <w:r w:rsidR="001A3AF4">
        <w:rPr>
          <w:rFonts w:ascii="Calibri" w:hAnsi="Calibri" w:cs="Calibri"/>
          <w:color w:val="1F4E79" w:themeColor="accent1" w:themeShade="80"/>
          <w:sz w:val="22"/>
          <w:szCs w:val="22"/>
        </w:rPr>
        <w:t>α</w:t>
      </w:r>
      <w:r w:rsidR="00B21103">
        <w:rPr>
          <w:rFonts w:ascii="Calibri" w:hAnsi="Calibri" w:cs="Calibri"/>
          <w:color w:val="1F4E79" w:themeColor="accent1" w:themeShade="80"/>
          <w:sz w:val="22"/>
          <w:szCs w:val="22"/>
        </w:rPr>
        <w:t xml:space="preserve">ιότερες καμπίνες χαλκού και τις μεθόδους υλοποίησης της καλωδίωσης από την καμπίνα μέχρι το κτίριο. Δεν κρίνεται εύλογη η χρήση αυθαίρετων ποσοστών προσαυξήσεων ή μειώσεων που δεν εδράζονται σε τεχνικές προδιαγραφές ή αποδόσεις κόστους. </w:t>
      </w:r>
    </w:p>
    <w:p w14:paraId="4F8D4804" w14:textId="0BC1694E" w:rsidR="009C515B" w:rsidRDefault="00B21103" w:rsidP="00C81C4E">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Σε αυτό το πλαίσιο η αύξηση του συνολικού μήκους καλωδίων στο τμήμα </w:t>
      </w:r>
      <w:r>
        <w:rPr>
          <w:rFonts w:ascii="Calibri" w:hAnsi="Calibri" w:cs="Calibri"/>
          <w:color w:val="1F4E79" w:themeColor="accent1" w:themeShade="80"/>
          <w:sz w:val="22"/>
          <w:szCs w:val="22"/>
          <w:lang w:val="en-US"/>
        </w:rPr>
        <w:t>Distribution</w:t>
      </w:r>
      <w:r w:rsidRPr="00E6727D">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οφείλεται στη χρήση αποκλειστικού καλωδίου από την καμπίνα έως το κάθε κτίριο, σύμφωνα με τις τρέχουσες υλοποιήσεις των παρόχων. Γεγονός που όμως οδήγησε σε μειώσεις κόστους δικτυακών στοιχείων λόγω σημαντικής μείωση</w:t>
      </w:r>
      <w:r w:rsidR="006F59CF">
        <w:rPr>
          <w:rFonts w:ascii="Calibri" w:hAnsi="Calibri" w:cs="Calibri"/>
          <w:color w:val="1F4E79" w:themeColor="accent1" w:themeShade="80"/>
          <w:sz w:val="22"/>
          <w:szCs w:val="22"/>
        </w:rPr>
        <w:t>ς</w:t>
      </w:r>
      <w:r>
        <w:rPr>
          <w:rFonts w:ascii="Calibri" w:hAnsi="Calibri" w:cs="Calibri"/>
          <w:color w:val="1F4E79" w:themeColor="accent1" w:themeShade="80"/>
          <w:sz w:val="22"/>
          <w:szCs w:val="22"/>
        </w:rPr>
        <w:t xml:space="preserve"> φρεατίων και σχετικών εργασιών.</w:t>
      </w:r>
      <w:r w:rsidR="009C515B">
        <w:rPr>
          <w:rFonts w:ascii="Calibri" w:hAnsi="Calibri" w:cs="Calibri"/>
          <w:color w:val="1F4E79" w:themeColor="accent1" w:themeShade="80"/>
          <w:sz w:val="22"/>
          <w:szCs w:val="22"/>
        </w:rPr>
        <w:t xml:space="preserve"> Επιπρόσθετα, σχετικά με την πρόταση για το</w:t>
      </w:r>
      <w:r w:rsidR="00C82B9A">
        <w:rPr>
          <w:rFonts w:ascii="Calibri" w:hAnsi="Calibri" w:cs="Calibri"/>
          <w:color w:val="1F4E79" w:themeColor="accent1" w:themeShade="80"/>
          <w:sz w:val="22"/>
          <w:szCs w:val="22"/>
        </w:rPr>
        <w:t>ν</w:t>
      </w:r>
      <w:r w:rsidR="009C515B">
        <w:rPr>
          <w:rFonts w:ascii="Calibri" w:hAnsi="Calibri" w:cs="Calibri"/>
          <w:color w:val="1F4E79" w:themeColor="accent1" w:themeShade="80"/>
          <w:sz w:val="22"/>
          <w:szCs w:val="22"/>
        </w:rPr>
        <w:t xml:space="preserve"> υπολογισμό του μέσου μήκους καλωδίου, η ΕΕΤΤ κρίνει ότι δεν είναι εύλογη, διότι θα οδηγούσε σε </w:t>
      </w:r>
      <w:proofErr w:type="spellStart"/>
      <w:r w:rsidR="009C515B">
        <w:rPr>
          <w:rFonts w:ascii="Calibri" w:hAnsi="Calibri" w:cs="Calibri"/>
          <w:color w:val="1F4E79" w:themeColor="accent1" w:themeShade="80"/>
          <w:sz w:val="22"/>
          <w:szCs w:val="22"/>
        </w:rPr>
        <w:t>διπλομέτρηση</w:t>
      </w:r>
      <w:proofErr w:type="spellEnd"/>
      <w:r w:rsidR="009C515B">
        <w:rPr>
          <w:rFonts w:ascii="Calibri" w:hAnsi="Calibri" w:cs="Calibri"/>
          <w:color w:val="1F4E79" w:themeColor="accent1" w:themeShade="80"/>
          <w:sz w:val="22"/>
          <w:szCs w:val="22"/>
        </w:rPr>
        <w:t xml:space="preserve"> καλωδίων στον υπολογισμό του τελικού τέλους των αντίστοιχων υπηρεσιών.  </w:t>
      </w:r>
    </w:p>
    <w:p w14:paraId="753C8A38" w14:textId="6708CAE2" w:rsidR="00B21103" w:rsidRPr="00A864B8" w:rsidRDefault="003D3FCB" w:rsidP="00C81C4E">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Ωστόσο, η ΕΕΤΤ λαμβάνοντας υπόψη τα σχόλια των συμμετεχόντων, θα προχωρήσει σε προσθήκη περισσότερων λεπτομερειών</w:t>
      </w:r>
      <w:r w:rsidR="006F59CF">
        <w:rPr>
          <w:rFonts w:ascii="Calibri" w:hAnsi="Calibri" w:cs="Calibri"/>
          <w:color w:val="1F4E79" w:themeColor="accent1" w:themeShade="80"/>
          <w:sz w:val="22"/>
          <w:szCs w:val="22"/>
        </w:rPr>
        <w:t xml:space="preserve"> </w:t>
      </w:r>
      <w:r w:rsidR="006F59CF" w:rsidRPr="00775338">
        <w:rPr>
          <w:rFonts w:ascii="Calibri" w:hAnsi="Calibri" w:cs="Calibri"/>
          <w:color w:val="1F4E79" w:themeColor="accent1" w:themeShade="80"/>
          <w:sz w:val="22"/>
          <w:szCs w:val="22"/>
          <w:highlight w:val="yellow"/>
        </w:rPr>
        <w:t>στο κείμενο τεκμηρίωσης του μοντέλου</w:t>
      </w:r>
      <w:r>
        <w:rPr>
          <w:rFonts w:ascii="Calibri" w:hAnsi="Calibri" w:cs="Calibri"/>
          <w:color w:val="1F4E79" w:themeColor="accent1" w:themeShade="80"/>
          <w:sz w:val="22"/>
          <w:szCs w:val="22"/>
        </w:rPr>
        <w:t xml:space="preserve"> σχετικά με τις μεθόδους που χρησιμοποιήθηκαν για την ομαδοποίηση </w:t>
      </w:r>
      <w:r w:rsidRPr="003D3FCB">
        <w:rPr>
          <w:rFonts w:ascii="Calibri" w:hAnsi="Calibri" w:cs="Calibri"/>
          <w:color w:val="1F4E79" w:themeColor="accent1" w:themeShade="80"/>
          <w:sz w:val="22"/>
          <w:szCs w:val="22"/>
        </w:rPr>
        <w:t>(</w:t>
      </w:r>
      <w:r>
        <w:rPr>
          <w:rFonts w:ascii="Calibri" w:hAnsi="Calibri" w:cs="Calibri"/>
          <w:color w:val="1F4E79" w:themeColor="accent1" w:themeShade="80"/>
          <w:sz w:val="22"/>
          <w:szCs w:val="22"/>
          <w:lang w:val="en-US"/>
        </w:rPr>
        <w:t>clustering</w:t>
      </w:r>
      <w:r w:rsidRPr="003D3FCB">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των κτιρίων και την εκτίμηση των καμπινών βάσει της προσέγγισης </w:t>
      </w:r>
      <w:r>
        <w:rPr>
          <w:rFonts w:ascii="Calibri" w:hAnsi="Calibri" w:cs="Calibri"/>
          <w:color w:val="1F4E79" w:themeColor="accent1" w:themeShade="80"/>
          <w:sz w:val="22"/>
          <w:szCs w:val="22"/>
          <w:lang w:val="en-US"/>
        </w:rPr>
        <w:t>scorched</w:t>
      </w:r>
      <w:r w:rsidRPr="003D3FCB">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earth</w:t>
      </w:r>
      <w:r w:rsidRPr="003D3FCB">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w:t>
      </w:r>
      <w:r w:rsidR="00B21103">
        <w:rPr>
          <w:rFonts w:ascii="Calibri" w:hAnsi="Calibri" w:cs="Calibri"/>
          <w:color w:val="1F4E79" w:themeColor="accent1" w:themeShade="80"/>
          <w:sz w:val="22"/>
          <w:szCs w:val="22"/>
        </w:rPr>
        <w:t xml:space="preserve">Επιπρόσθετα, </w:t>
      </w:r>
      <w:r w:rsidR="006F59CF">
        <w:rPr>
          <w:rFonts w:ascii="Calibri" w:hAnsi="Calibri" w:cs="Calibri"/>
          <w:color w:val="1F4E79" w:themeColor="accent1" w:themeShade="80"/>
          <w:sz w:val="22"/>
          <w:szCs w:val="22"/>
        </w:rPr>
        <w:t xml:space="preserve">η ΕΕΤΤ </w:t>
      </w:r>
      <w:r w:rsidR="00B21103">
        <w:rPr>
          <w:rFonts w:ascii="Calibri" w:hAnsi="Calibri" w:cs="Calibri"/>
          <w:color w:val="1F4E79" w:themeColor="accent1" w:themeShade="80"/>
          <w:sz w:val="22"/>
          <w:szCs w:val="22"/>
        </w:rPr>
        <w:t xml:space="preserve">θεωρεί εύλογη την πρόταση των συμμετεχόντων για την αύξηση του μέσου </w:t>
      </w:r>
      <w:r w:rsidR="00B21103">
        <w:rPr>
          <w:rFonts w:ascii="Calibri" w:hAnsi="Calibri" w:cs="Calibri"/>
          <w:color w:val="1F4E79" w:themeColor="accent1" w:themeShade="80"/>
          <w:sz w:val="22"/>
          <w:szCs w:val="22"/>
          <w:lang w:val="en-US"/>
        </w:rPr>
        <w:t>drop</w:t>
      </w:r>
      <w:r w:rsidR="00B21103" w:rsidRPr="00B21103">
        <w:rPr>
          <w:rFonts w:ascii="Calibri" w:hAnsi="Calibri" w:cs="Calibri"/>
          <w:color w:val="1F4E79" w:themeColor="accent1" w:themeShade="80"/>
          <w:sz w:val="22"/>
          <w:szCs w:val="22"/>
        </w:rPr>
        <w:t xml:space="preserve"> </w:t>
      </w:r>
      <w:r w:rsidR="00B21103">
        <w:rPr>
          <w:rFonts w:ascii="Calibri" w:hAnsi="Calibri" w:cs="Calibri"/>
          <w:color w:val="1F4E79" w:themeColor="accent1" w:themeShade="80"/>
          <w:sz w:val="22"/>
          <w:szCs w:val="22"/>
        </w:rPr>
        <w:t>και προτίθεται να αναπροσαρμόσει τις αντίστοιχες τιμές ως εξής:</w:t>
      </w:r>
    </w:p>
    <w:p w14:paraId="377D520C" w14:textId="05E8C267" w:rsidR="00A864B8" w:rsidRPr="006F59CF" w:rsidRDefault="00A864B8" w:rsidP="00A864B8">
      <w:pPr>
        <w:pStyle w:val="ab"/>
        <w:numPr>
          <w:ilvl w:val="0"/>
          <w:numId w:val="20"/>
        </w:numPr>
        <w:spacing w:before="143" w:line="259" w:lineRule="auto"/>
        <w:ind w:right="136"/>
        <w:rPr>
          <w:rFonts w:ascii="Calibri" w:hAnsi="Calibri" w:cs="Calibri"/>
          <w:color w:val="1F4E79" w:themeColor="accent1" w:themeShade="80"/>
          <w:sz w:val="22"/>
          <w:szCs w:val="22"/>
          <w:lang w:val="en-US"/>
        </w:rPr>
      </w:pPr>
      <w:r>
        <w:rPr>
          <w:rFonts w:ascii="Calibri" w:hAnsi="Calibri" w:cs="Calibri"/>
          <w:color w:val="1F4E79" w:themeColor="accent1" w:themeShade="80"/>
          <w:sz w:val="22"/>
          <w:szCs w:val="22"/>
        </w:rPr>
        <w:t xml:space="preserve">Πυκνές Αστικές: </w:t>
      </w:r>
      <w:r w:rsidR="006F59CF">
        <w:rPr>
          <w:rFonts w:ascii="Calibri" w:hAnsi="Calibri" w:cs="Calibri"/>
          <w:color w:val="1F4E79" w:themeColor="accent1" w:themeShade="80"/>
          <w:sz w:val="22"/>
          <w:szCs w:val="22"/>
        </w:rPr>
        <w:t>5</w:t>
      </w:r>
      <w:r>
        <w:rPr>
          <w:rFonts w:ascii="Calibri" w:hAnsi="Calibri" w:cs="Calibri"/>
          <w:color w:val="1F4E79" w:themeColor="accent1" w:themeShade="80"/>
          <w:sz w:val="22"/>
          <w:szCs w:val="22"/>
        </w:rPr>
        <w:t xml:space="preserve"> μέτρα</w:t>
      </w:r>
    </w:p>
    <w:p w14:paraId="38DA96B2" w14:textId="1E16ACB4" w:rsidR="006F59CF" w:rsidRPr="00A864B8" w:rsidRDefault="006F59CF" w:rsidP="00A864B8">
      <w:pPr>
        <w:pStyle w:val="ab"/>
        <w:numPr>
          <w:ilvl w:val="0"/>
          <w:numId w:val="20"/>
        </w:numPr>
        <w:spacing w:before="143" w:line="259" w:lineRule="auto"/>
        <w:ind w:right="136"/>
        <w:rPr>
          <w:rFonts w:ascii="Calibri" w:hAnsi="Calibri" w:cs="Calibri"/>
          <w:color w:val="1F4E79" w:themeColor="accent1" w:themeShade="80"/>
          <w:sz w:val="22"/>
          <w:szCs w:val="22"/>
          <w:lang w:val="en-US"/>
        </w:rPr>
      </w:pPr>
      <w:r>
        <w:rPr>
          <w:rFonts w:ascii="Calibri" w:hAnsi="Calibri" w:cs="Calibri"/>
          <w:color w:val="1F4E79" w:themeColor="accent1" w:themeShade="80"/>
          <w:sz w:val="22"/>
          <w:szCs w:val="22"/>
        </w:rPr>
        <w:t>Αστικές: 6 μέτρα</w:t>
      </w:r>
    </w:p>
    <w:p w14:paraId="394AE06B" w14:textId="0A4D3209" w:rsidR="00A864B8" w:rsidRPr="00A864B8" w:rsidRDefault="00A864B8" w:rsidP="00A864B8">
      <w:pPr>
        <w:pStyle w:val="ab"/>
        <w:numPr>
          <w:ilvl w:val="0"/>
          <w:numId w:val="20"/>
        </w:numPr>
        <w:spacing w:before="143" w:line="259" w:lineRule="auto"/>
        <w:ind w:right="136"/>
        <w:rPr>
          <w:rFonts w:ascii="Calibri" w:hAnsi="Calibri" w:cs="Calibri"/>
          <w:color w:val="1F4E79" w:themeColor="accent1" w:themeShade="80"/>
          <w:sz w:val="22"/>
          <w:szCs w:val="22"/>
          <w:lang w:val="en-US"/>
        </w:rPr>
      </w:pPr>
      <w:r>
        <w:rPr>
          <w:rFonts w:ascii="Calibri" w:hAnsi="Calibri" w:cs="Calibri"/>
          <w:color w:val="1F4E79" w:themeColor="accent1" w:themeShade="80"/>
          <w:sz w:val="22"/>
          <w:szCs w:val="22"/>
        </w:rPr>
        <w:t>Ημιαστικές: 12 μέτρα</w:t>
      </w:r>
    </w:p>
    <w:p w14:paraId="65252AFE" w14:textId="4D76AD61" w:rsidR="00A864B8" w:rsidRPr="00A864B8" w:rsidRDefault="00A864B8" w:rsidP="00A864B8">
      <w:pPr>
        <w:pStyle w:val="ab"/>
        <w:numPr>
          <w:ilvl w:val="0"/>
          <w:numId w:val="20"/>
        </w:numPr>
        <w:spacing w:before="143" w:line="259" w:lineRule="auto"/>
        <w:ind w:right="136"/>
        <w:rPr>
          <w:rFonts w:ascii="Calibri" w:hAnsi="Calibri" w:cs="Calibri"/>
          <w:color w:val="1F4E79" w:themeColor="accent1" w:themeShade="80"/>
          <w:sz w:val="22"/>
          <w:szCs w:val="22"/>
          <w:lang w:val="en-US"/>
        </w:rPr>
      </w:pPr>
      <w:r>
        <w:rPr>
          <w:rFonts w:ascii="Calibri" w:hAnsi="Calibri" w:cs="Calibri"/>
          <w:color w:val="1F4E79" w:themeColor="accent1" w:themeShade="80"/>
          <w:sz w:val="22"/>
          <w:szCs w:val="22"/>
        </w:rPr>
        <w:t>Επαρχιακές: 1</w:t>
      </w:r>
      <w:r w:rsidR="006F59CF">
        <w:rPr>
          <w:rFonts w:ascii="Calibri" w:hAnsi="Calibri" w:cs="Calibri"/>
          <w:color w:val="1F4E79" w:themeColor="accent1" w:themeShade="80"/>
          <w:sz w:val="22"/>
          <w:szCs w:val="22"/>
        </w:rPr>
        <w:t>7</w:t>
      </w:r>
      <w:r>
        <w:rPr>
          <w:rFonts w:ascii="Calibri" w:hAnsi="Calibri" w:cs="Calibri"/>
          <w:color w:val="1F4E79" w:themeColor="accent1" w:themeShade="80"/>
          <w:sz w:val="22"/>
          <w:szCs w:val="22"/>
        </w:rPr>
        <w:t xml:space="preserve"> μέτρα</w:t>
      </w:r>
    </w:p>
    <w:p w14:paraId="5DB4D32C" w14:textId="5CE63269" w:rsidR="00E6727D" w:rsidRPr="00E6727D" w:rsidRDefault="00E6727D" w:rsidP="00C81C4E">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Επιπλέον, η ΕΕΤΤ εμμένει στη χρήση </w:t>
      </w:r>
      <w:r>
        <w:rPr>
          <w:rFonts w:ascii="Calibri" w:hAnsi="Calibri" w:cs="Calibri"/>
          <w:color w:val="1F4E79" w:themeColor="accent1" w:themeShade="80"/>
          <w:sz w:val="22"/>
          <w:szCs w:val="22"/>
          <w:lang w:val="en-US"/>
        </w:rPr>
        <w:t>price</w:t>
      </w:r>
      <w:r w:rsidRPr="00E6727D">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adjustments</w:t>
      </w:r>
      <w:r w:rsidRPr="00E6727D">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βάσει του γεώτυπου</w:t>
      </w:r>
      <w:r w:rsidR="00B21103">
        <w:rPr>
          <w:rFonts w:ascii="Calibri" w:hAnsi="Calibri" w:cs="Calibri"/>
          <w:color w:val="1F4E79" w:themeColor="accent1" w:themeShade="80"/>
          <w:sz w:val="22"/>
          <w:szCs w:val="22"/>
        </w:rPr>
        <w:t xml:space="preserve"> των περιοχών</w:t>
      </w:r>
      <w:r w:rsidR="006F59CF">
        <w:rPr>
          <w:rFonts w:ascii="Calibri" w:hAnsi="Calibri" w:cs="Calibri"/>
          <w:color w:val="1F4E79" w:themeColor="accent1" w:themeShade="80"/>
          <w:sz w:val="22"/>
          <w:szCs w:val="22"/>
        </w:rPr>
        <w:t>,</w:t>
      </w:r>
      <w:r w:rsidR="00B21103">
        <w:rPr>
          <w:rFonts w:ascii="Calibri" w:hAnsi="Calibri" w:cs="Calibri"/>
          <w:color w:val="1F4E79" w:themeColor="accent1" w:themeShade="80"/>
          <w:sz w:val="22"/>
          <w:szCs w:val="22"/>
        </w:rPr>
        <w:t xml:space="preserve"> </w:t>
      </w:r>
      <w:r w:rsidR="006F59CF">
        <w:rPr>
          <w:rFonts w:ascii="Calibri" w:hAnsi="Calibri" w:cs="Calibri"/>
          <w:color w:val="1F4E79" w:themeColor="accent1" w:themeShade="80"/>
          <w:sz w:val="22"/>
          <w:szCs w:val="22"/>
        </w:rPr>
        <w:t xml:space="preserve">διαφοροποίηση που αποτυπώνεται </w:t>
      </w:r>
      <w:r w:rsidR="00B21103">
        <w:rPr>
          <w:rFonts w:ascii="Calibri" w:hAnsi="Calibri" w:cs="Calibri"/>
          <w:color w:val="1F4E79" w:themeColor="accent1" w:themeShade="80"/>
          <w:sz w:val="22"/>
          <w:szCs w:val="22"/>
        </w:rPr>
        <w:t>και σε άλλα μοντέλα και</w:t>
      </w:r>
      <w:r w:rsidR="001C2A9D">
        <w:rPr>
          <w:rFonts w:ascii="Calibri" w:hAnsi="Calibri" w:cs="Calibri"/>
          <w:color w:val="1F4E79" w:themeColor="accent1" w:themeShade="80"/>
          <w:sz w:val="22"/>
          <w:szCs w:val="22"/>
        </w:rPr>
        <w:t xml:space="preserve"> </w:t>
      </w:r>
      <w:r w:rsidR="00B21103">
        <w:rPr>
          <w:rFonts w:ascii="Calibri" w:hAnsi="Calibri" w:cs="Calibri"/>
          <w:color w:val="1F4E79" w:themeColor="accent1" w:themeShade="80"/>
          <w:sz w:val="22"/>
          <w:szCs w:val="22"/>
        </w:rPr>
        <w:t>όπως είχ</w:t>
      </w:r>
      <w:r w:rsidR="001C2A9D">
        <w:rPr>
          <w:rFonts w:ascii="Calibri" w:hAnsi="Calibri" w:cs="Calibri"/>
          <w:color w:val="1F4E79" w:themeColor="accent1" w:themeShade="80"/>
          <w:sz w:val="22"/>
          <w:szCs w:val="22"/>
        </w:rPr>
        <w:t>αν</w:t>
      </w:r>
      <w:r w:rsidR="00B21103">
        <w:rPr>
          <w:rFonts w:ascii="Calibri" w:hAnsi="Calibri" w:cs="Calibri"/>
          <w:color w:val="1F4E79" w:themeColor="accent1" w:themeShade="80"/>
          <w:sz w:val="22"/>
          <w:szCs w:val="22"/>
        </w:rPr>
        <w:t xml:space="preserve"> υπολογιστεί και από το παλαιότερο μοντέλο </w:t>
      </w:r>
      <w:r w:rsidR="00B21103">
        <w:rPr>
          <w:rFonts w:ascii="Calibri" w:hAnsi="Calibri" w:cs="Calibri"/>
          <w:color w:val="1F4E79" w:themeColor="accent1" w:themeShade="80"/>
          <w:sz w:val="22"/>
          <w:szCs w:val="22"/>
          <w:lang w:val="en-US"/>
        </w:rPr>
        <w:t>NGA</w:t>
      </w:r>
      <w:r w:rsidR="00B21103" w:rsidRPr="00B21103">
        <w:rPr>
          <w:rFonts w:ascii="Calibri" w:hAnsi="Calibri" w:cs="Calibri"/>
          <w:color w:val="1F4E79" w:themeColor="accent1" w:themeShade="80"/>
          <w:sz w:val="22"/>
          <w:szCs w:val="22"/>
        </w:rPr>
        <w:t xml:space="preserve"> </w:t>
      </w:r>
      <w:r w:rsidR="00B21103">
        <w:rPr>
          <w:rFonts w:ascii="Calibri" w:hAnsi="Calibri" w:cs="Calibri"/>
          <w:color w:val="1F4E79" w:themeColor="accent1" w:themeShade="80"/>
          <w:sz w:val="22"/>
          <w:szCs w:val="22"/>
          <w:lang w:val="en-US"/>
        </w:rPr>
        <w:t>BU</w:t>
      </w:r>
      <w:r w:rsidR="00B21103" w:rsidRPr="00B21103">
        <w:rPr>
          <w:rFonts w:ascii="Calibri" w:hAnsi="Calibri" w:cs="Calibri"/>
          <w:color w:val="1F4E79" w:themeColor="accent1" w:themeShade="80"/>
          <w:sz w:val="22"/>
          <w:szCs w:val="22"/>
        </w:rPr>
        <w:t xml:space="preserve"> </w:t>
      </w:r>
      <w:r w:rsidR="00B21103">
        <w:rPr>
          <w:rFonts w:ascii="Calibri" w:hAnsi="Calibri" w:cs="Calibri"/>
          <w:color w:val="1F4E79" w:themeColor="accent1" w:themeShade="80"/>
          <w:sz w:val="22"/>
          <w:szCs w:val="22"/>
          <w:lang w:val="en-US"/>
        </w:rPr>
        <w:t>LRIC</w:t>
      </w:r>
      <w:r w:rsidR="00B21103" w:rsidRPr="00B21103">
        <w:rPr>
          <w:rFonts w:ascii="Calibri" w:hAnsi="Calibri" w:cs="Calibri"/>
          <w:color w:val="1F4E79" w:themeColor="accent1" w:themeShade="80"/>
          <w:sz w:val="22"/>
          <w:szCs w:val="22"/>
        </w:rPr>
        <w:t xml:space="preserve">+. </w:t>
      </w:r>
    </w:p>
    <w:p w14:paraId="69750C2C" w14:textId="0628CDA0" w:rsidR="00E6727D" w:rsidRDefault="00E6727D" w:rsidP="00C81C4E">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Σχετικά με την σχόλιο ενός συμμετέχοντα για την κοστολόγηση των εφεδρικών ινών στ</w:t>
      </w:r>
      <w:r w:rsidR="00724EB4">
        <w:rPr>
          <w:rFonts w:ascii="Calibri" w:hAnsi="Calibri" w:cs="Calibri"/>
          <w:color w:val="1F4E79" w:themeColor="accent1" w:themeShade="80"/>
          <w:sz w:val="22"/>
          <w:szCs w:val="22"/>
        </w:rPr>
        <w:t>ις</w:t>
      </w:r>
      <w:r>
        <w:rPr>
          <w:rFonts w:ascii="Calibri" w:hAnsi="Calibri" w:cs="Calibri"/>
          <w:color w:val="1F4E79" w:themeColor="accent1" w:themeShade="80"/>
          <w:sz w:val="22"/>
          <w:szCs w:val="22"/>
        </w:rPr>
        <w:t xml:space="preserve"> υπηρεσίες παθητικής πρόσβασης, η ΕΕΤΤ εμμένει στην θέση της και την τρέχουσα υλοποίηση</w:t>
      </w:r>
      <w:r w:rsidR="00724EB4">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η οποία είναι σύμφωνη με την αντίστοιχη προσφορά αναφοράς των εν λόγω υπηρεσιών. </w:t>
      </w:r>
    </w:p>
    <w:p w14:paraId="61444F97" w14:textId="1DE94294" w:rsidR="00B21103" w:rsidRPr="00E6727D" w:rsidRDefault="00B21103" w:rsidP="00C81C4E">
      <w:pPr>
        <w:pStyle w:val="ab"/>
        <w:spacing w:before="143" w:line="259" w:lineRule="auto"/>
        <w:ind w:right="136"/>
        <w:rPr>
          <w:rFonts w:ascii="Calibri" w:hAnsi="Calibri" w:cs="Calibri"/>
          <w:sz w:val="22"/>
          <w:szCs w:val="22"/>
        </w:rPr>
      </w:pPr>
      <w:r>
        <w:rPr>
          <w:rFonts w:ascii="Calibri" w:hAnsi="Calibri" w:cs="Calibri"/>
          <w:color w:val="1F4E79" w:themeColor="accent1" w:themeShade="80"/>
          <w:sz w:val="22"/>
          <w:szCs w:val="22"/>
        </w:rPr>
        <w:t>Τέλος, η ΕΕΤΤ θεωρεί ότι δόθηκαν στους παρόχους όλα τα απαραίτητα μη εμπιστευτικά στοιχεία καθώς και ο χρόνος για την αξιολόγηση της μεθοδολογίας που ακολουθήθηκε.</w:t>
      </w:r>
    </w:p>
    <w:p w14:paraId="26EDFA65" w14:textId="77777777" w:rsidR="007D5E21" w:rsidRDefault="007D5E21" w:rsidP="00C81C4E">
      <w:pPr>
        <w:pStyle w:val="ab"/>
        <w:spacing w:before="143" w:line="259" w:lineRule="auto"/>
        <w:ind w:right="136"/>
        <w:rPr>
          <w:rFonts w:ascii="Calibri" w:hAnsi="Calibri" w:cs="Calibri"/>
          <w:sz w:val="22"/>
          <w:szCs w:val="22"/>
        </w:rPr>
      </w:pPr>
    </w:p>
    <w:p w14:paraId="5FA41CAD" w14:textId="77777777" w:rsidR="007D5E21" w:rsidRDefault="007D5E21" w:rsidP="00C81C4E">
      <w:pPr>
        <w:pStyle w:val="ab"/>
        <w:spacing w:before="143" w:line="259" w:lineRule="auto"/>
        <w:ind w:right="136"/>
        <w:rPr>
          <w:rFonts w:ascii="Calibri" w:hAnsi="Calibri" w:cs="Calibri"/>
          <w:sz w:val="22"/>
          <w:szCs w:val="22"/>
        </w:rPr>
      </w:pPr>
    </w:p>
    <w:p w14:paraId="50F41064" w14:textId="1BEB94CA" w:rsidR="00065121" w:rsidRPr="00D47AE9" w:rsidRDefault="00065121" w:rsidP="00392B3A">
      <w:pPr>
        <w:pStyle w:val="2"/>
        <w:keepNext w:val="0"/>
        <w:widowControl w:val="0"/>
        <w:numPr>
          <w:ilvl w:val="1"/>
          <w:numId w:val="6"/>
        </w:numPr>
        <w:tabs>
          <w:tab w:val="left" w:pos="720"/>
        </w:tabs>
        <w:autoSpaceDE w:val="0"/>
        <w:autoSpaceDN w:val="0"/>
        <w:spacing w:line="240" w:lineRule="auto"/>
        <w:jc w:val="both"/>
        <w:rPr>
          <w:rFonts w:ascii="Calibri" w:hAnsi="Calibri" w:cs="Calibri"/>
          <w:b w:val="0"/>
          <w:color w:val="2E5395"/>
          <w:sz w:val="22"/>
          <w:szCs w:val="22"/>
        </w:rPr>
      </w:pPr>
      <w:r w:rsidRPr="00D47AE9">
        <w:rPr>
          <w:rFonts w:ascii="Calibri" w:hAnsi="Calibri" w:cs="Calibri"/>
          <w:b w:val="0"/>
          <w:color w:val="2E5395"/>
          <w:sz w:val="22"/>
          <w:szCs w:val="22"/>
        </w:rPr>
        <w:t>Ενδοκτιριακή υποδομή (</w:t>
      </w:r>
      <w:r w:rsidR="00D073D7">
        <w:rPr>
          <w:rFonts w:ascii="Calibri" w:hAnsi="Calibri" w:cs="Calibri"/>
          <w:b w:val="0"/>
          <w:color w:val="2E5395"/>
          <w:sz w:val="22"/>
          <w:szCs w:val="22"/>
          <w:lang w:val="en-US"/>
        </w:rPr>
        <w:t>F</w:t>
      </w:r>
      <w:r w:rsidRPr="00D47AE9">
        <w:rPr>
          <w:rFonts w:ascii="Calibri" w:hAnsi="Calibri" w:cs="Calibri"/>
          <w:b w:val="0"/>
          <w:color w:val="2E5395"/>
          <w:sz w:val="22"/>
          <w:szCs w:val="22"/>
        </w:rPr>
        <w:t>loor</w:t>
      </w:r>
      <w:r w:rsidR="00D073D7" w:rsidRPr="00D073D7">
        <w:rPr>
          <w:rFonts w:ascii="Calibri" w:hAnsi="Calibri" w:cs="Calibri"/>
          <w:b w:val="0"/>
          <w:color w:val="2E5395"/>
          <w:sz w:val="22"/>
          <w:szCs w:val="22"/>
        </w:rPr>
        <w:t xml:space="preserve"> </w:t>
      </w:r>
      <w:r w:rsidR="00D073D7">
        <w:rPr>
          <w:rFonts w:ascii="Calibri" w:hAnsi="Calibri" w:cs="Calibri"/>
          <w:b w:val="0"/>
          <w:color w:val="2E5395"/>
          <w:sz w:val="22"/>
          <w:szCs w:val="22"/>
          <w:lang w:val="en-US"/>
        </w:rPr>
        <w:t>box</w:t>
      </w:r>
      <w:r w:rsidRPr="00D47AE9">
        <w:rPr>
          <w:rFonts w:ascii="Calibri" w:hAnsi="Calibri" w:cs="Calibri"/>
          <w:b w:val="0"/>
          <w:color w:val="2E5395"/>
          <w:sz w:val="22"/>
          <w:szCs w:val="22"/>
        </w:rPr>
        <w:t>, BMO, ΚΥΑ)</w:t>
      </w:r>
    </w:p>
    <w:p w14:paraId="3A8C61C2" w14:textId="4585D1AA" w:rsidR="007E073D" w:rsidRPr="00D073D7" w:rsidRDefault="00065121" w:rsidP="00CF67A0">
      <w:pPr>
        <w:pStyle w:val="ab"/>
        <w:spacing w:before="141" w:line="259" w:lineRule="auto"/>
        <w:ind w:right="133"/>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αναφέρει ότι το μοντέλο υποεκτιμά</w:t>
      </w:r>
      <w:r w:rsidRPr="00D47AE9">
        <w:rPr>
          <w:rFonts w:ascii="Calibri" w:hAnsi="Calibri" w:cs="Calibri"/>
          <w:sz w:val="22"/>
          <w:szCs w:val="22"/>
        </w:rPr>
        <w:t xml:space="preserve"> το κόστος και τις τεχνικές απαιτήσεις της ενδοκτιριακής καλωδίωσης, μετά την ψήφιση της ΚΥΑ 53538/ΕΞ 2023. </w:t>
      </w:r>
      <w:r>
        <w:rPr>
          <w:rFonts w:ascii="Calibri" w:hAnsi="Calibri" w:cs="Calibri"/>
          <w:sz w:val="22"/>
          <w:szCs w:val="22"/>
        </w:rPr>
        <w:t xml:space="preserve">Οι </w:t>
      </w:r>
      <w:r w:rsidRPr="00D47AE9">
        <w:rPr>
          <w:rFonts w:ascii="Calibri" w:hAnsi="Calibri" w:cs="Calibri"/>
          <w:sz w:val="22"/>
          <w:szCs w:val="22"/>
        </w:rPr>
        <w:t>νέες απαιτήσεις</w:t>
      </w:r>
      <w:r>
        <w:rPr>
          <w:rFonts w:ascii="Calibri" w:hAnsi="Calibri" w:cs="Calibri"/>
          <w:sz w:val="22"/>
          <w:szCs w:val="22"/>
        </w:rPr>
        <w:t xml:space="preserve"> </w:t>
      </w:r>
      <w:r w:rsidRPr="00D47AE9">
        <w:rPr>
          <w:rFonts w:ascii="Calibri" w:hAnsi="Calibri" w:cs="Calibri"/>
          <w:sz w:val="22"/>
          <w:szCs w:val="22"/>
        </w:rPr>
        <w:t xml:space="preserve">διπλασιάζουν τις ίνες ανά όροφο, αυξάνουν τις προδιαγραφές των </w:t>
      </w:r>
      <w:r w:rsidR="00D073D7" w:rsidRPr="00D47AE9">
        <w:rPr>
          <w:rFonts w:ascii="Calibri" w:hAnsi="Calibri" w:cs="Calibri"/>
          <w:sz w:val="22"/>
          <w:szCs w:val="22"/>
        </w:rPr>
        <w:t>Floor</w:t>
      </w:r>
      <w:r w:rsidR="00D073D7" w:rsidRPr="00D073D7">
        <w:rPr>
          <w:rFonts w:ascii="Calibri" w:hAnsi="Calibri" w:cs="Calibri"/>
          <w:sz w:val="22"/>
          <w:szCs w:val="22"/>
        </w:rPr>
        <w:t xml:space="preserve"> </w:t>
      </w:r>
      <w:r w:rsidRPr="00D47AE9">
        <w:rPr>
          <w:rFonts w:ascii="Calibri" w:hAnsi="Calibri" w:cs="Calibri"/>
          <w:sz w:val="22"/>
          <w:szCs w:val="22"/>
        </w:rPr>
        <w:t>boxes και απαιτούν μεγαλύτερους κεντρικούς κατανεμητές (BMO).</w:t>
      </w:r>
      <w:r>
        <w:rPr>
          <w:rFonts w:ascii="Calibri" w:hAnsi="Calibri" w:cs="Calibri"/>
          <w:sz w:val="22"/>
          <w:szCs w:val="22"/>
        </w:rPr>
        <w:t xml:space="preserve"> </w:t>
      </w:r>
      <w:r w:rsidRPr="00D47AE9">
        <w:rPr>
          <w:rFonts w:ascii="Calibri" w:hAnsi="Calibri" w:cs="Calibri"/>
          <w:sz w:val="22"/>
          <w:szCs w:val="22"/>
        </w:rPr>
        <w:t xml:space="preserve">Ειδικότερα, υπολογίζει ότι το νέο κόστος </w:t>
      </w:r>
      <w:r w:rsidR="00D073D7" w:rsidRPr="00D47AE9">
        <w:rPr>
          <w:rFonts w:ascii="Calibri" w:hAnsi="Calibri" w:cs="Calibri"/>
          <w:sz w:val="22"/>
          <w:szCs w:val="22"/>
        </w:rPr>
        <w:t>Floor</w:t>
      </w:r>
      <w:r w:rsidR="00D073D7" w:rsidRPr="00D073D7">
        <w:rPr>
          <w:rFonts w:ascii="Calibri" w:hAnsi="Calibri" w:cs="Calibri"/>
          <w:sz w:val="22"/>
          <w:szCs w:val="22"/>
        </w:rPr>
        <w:t xml:space="preserve"> </w:t>
      </w:r>
      <w:r w:rsidR="00D073D7" w:rsidRPr="00D47AE9">
        <w:rPr>
          <w:rFonts w:ascii="Calibri" w:hAnsi="Calibri" w:cs="Calibri"/>
          <w:sz w:val="22"/>
          <w:szCs w:val="22"/>
        </w:rPr>
        <w:t>Box</w:t>
      </w:r>
      <w:r w:rsidRPr="00D47AE9">
        <w:rPr>
          <w:rFonts w:ascii="Calibri" w:hAnsi="Calibri" w:cs="Calibri"/>
          <w:sz w:val="22"/>
          <w:szCs w:val="22"/>
        </w:rPr>
        <w:t xml:space="preserve"> ανέρχεται σε </w:t>
      </w:r>
      <w:r w:rsidR="002F0007" w:rsidRPr="003C28FC">
        <w:rPr>
          <w:rFonts w:ascii="Calibri" w:hAnsi="Calibri" w:cs="Calibri"/>
          <w:sz w:val="22"/>
          <w:szCs w:val="22"/>
        </w:rPr>
        <w:t>(----)</w:t>
      </w:r>
      <w:r w:rsidRPr="00D47AE9">
        <w:rPr>
          <w:rFonts w:ascii="Calibri" w:hAnsi="Calibri" w:cs="Calibri"/>
          <w:sz w:val="22"/>
          <w:szCs w:val="22"/>
        </w:rPr>
        <w:t xml:space="preserve"> (αντί 170 €), ενώ το κόστος BMO πρέπει να αυξηθεί κατά </w:t>
      </w:r>
      <w:r w:rsidR="002F0007" w:rsidRPr="003C28FC">
        <w:rPr>
          <w:rFonts w:ascii="Calibri" w:hAnsi="Calibri" w:cs="Calibri"/>
          <w:sz w:val="22"/>
          <w:szCs w:val="22"/>
        </w:rPr>
        <w:t>(----)</w:t>
      </w:r>
      <w:r w:rsidRPr="00D47AE9">
        <w:rPr>
          <w:rFonts w:ascii="Calibri" w:hAnsi="Calibri" w:cs="Calibri"/>
          <w:sz w:val="22"/>
          <w:szCs w:val="22"/>
        </w:rPr>
        <w:t xml:space="preserve">, λόγω περισσότερων θυρών και αναβαθμισμένων υλικών. Επιπλέον, θεωρεί ότι το OPEX 2% που προβλέπει η ΕΕΤΤ είναι ανεπαρκές, καθώς οι εγκαταστάσεις </w:t>
      </w:r>
      <w:r w:rsidRPr="00D47AE9">
        <w:rPr>
          <w:rFonts w:ascii="Calibri" w:hAnsi="Calibri" w:cs="Calibri"/>
          <w:sz w:val="22"/>
          <w:szCs w:val="22"/>
        </w:rPr>
        <w:lastRenderedPageBreak/>
        <w:t>εντός κτιρίων είναι εκτεθειμένες και απαιτούν συχνότερη συντήρηση.</w:t>
      </w:r>
      <w:r w:rsidR="00D073D7" w:rsidRPr="00D073D7">
        <w:rPr>
          <w:rFonts w:ascii="Calibri" w:hAnsi="Calibri" w:cs="Calibri"/>
          <w:sz w:val="22"/>
          <w:szCs w:val="22"/>
        </w:rPr>
        <w:t xml:space="preserve"> </w:t>
      </w:r>
      <w:r w:rsidR="00D073D7">
        <w:rPr>
          <w:rFonts w:ascii="Calibri" w:hAnsi="Calibri" w:cs="Calibri"/>
          <w:sz w:val="22"/>
          <w:szCs w:val="22"/>
        </w:rPr>
        <w:t xml:space="preserve">Τέλος, ο εν λόγω πάροχος </w:t>
      </w:r>
      <w:r w:rsidR="007E073D">
        <w:rPr>
          <w:rFonts w:ascii="Calibri" w:hAnsi="Calibri" w:cs="Calibri"/>
          <w:sz w:val="22"/>
          <w:szCs w:val="22"/>
        </w:rPr>
        <w:t>διαφωνεί με την αλλαγή του χρόνου αποσβέσεων από 10 σε 15 έτη, και προτείνει</w:t>
      </w:r>
      <w:r w:rsidR="00731930">
        <w:rPr>
          <w:rFonts w:ascii="Calibri" w:hAnsi="Calibri" w:cs="Calibri"/>
          <w:sz w:val="22"/>
          <w:szCs w:val="22"/>
        </w:rPr>
        <w:t xml:space="preserve"> </w:t>
      </w:r>
      <w:r w:rsidR="007E073D" w:rsidRPr="007E073D">
        <w:rPr>
          <w:rFonts w:ascii="Calibri" w:hAnsi="Calibri" w:cs="Calibri"/>
          <w:sz w:val="22"/>
          <w:szCs w:val="22"/>
        </w:rPr>
        <w:t>να γίνει επαν</w:t>
      </w:r>
      <w:r w:rsidR="00731930">
        <w:rPr>
          <w:rFonts w:ascii="Calibri" w:hAnsi="Calibri" w:cs="Calibri"/>
          <w:sz w:val="22"/>
          <w:szCs w:val="22"/>
        </w:rPr>
        <w:t>α</w:t>
      </w:r>
      <w:r w:rsidR="000E3BF6">
        <w:rPr>
          <w:rFonts w:ascii="Calibri" w:hAnsi="Calibri" w:cs="Calibri"/>
          <w:sz w:val="22"/>
          <w:szCs w:val="22"/>
        </w:rPr>
        <w:t>ϋ</w:t>
      </w:r>
      <w:r w:rsidR="007E073D" w:rsidRPr="007E073D">
        <w:rPr>
          <w:rFonts w:ascii="Calibri" w:hAnsi="Calibri" w:cs="Calibri"/>
          <w:sz w:val="22"/>
          <w:szCs w:val="22"/>
        </w:rPr>
        <w:t xml:space="preserve">πολογισμός των αποσβέσεων για τα 15 έτη με τρόπο ώστε να ανακτάται όλο το κόστος. Δηλαδή οφείλει η αναπόσβεστη αξία ήδη εγκατεστημένων </w:t>
      </w:r>
      <w:proofErr w:type="spellStart"/>
      <w:r w:rsidR="007E073D" w:rsidRPr="007E073D">
        <w:rPr>
          <w:rFonts w:ascii="Calibri" w:hAnsi="Calibri" w:cs="Calibri"/>
          <w:sz w:val="22"/>
          <w:szCs w:val="22"/>
        </w:rPr>
        <w:t>floorbox</w:t>
      </w:r>
      <w:proofErr w:type="spellEnd"/>
      <w:r w:rsidR="007E073D" w:rsidRPr="007E073D">
        <w:rPr>
          <w:rFonts w:ascii="Calibri" w:hAnsi="Calibri" w:cs="Calibri"/>
          <w:sz w:val="22"/>
          <w:szCs w:val="22"/>
        </w:rPr>
        <w:t xml:space="preserve"> να θεωρηθεί ως νέο </w:t>
      </w:r>
      <w:proofErr w:type="spellStart"/>
      <w:r w:rsidR="007E073D" w:rsidRPr="007E073D">
        <w:rPr>
          <w:rFonts w:ascii="Calibri" w:hAnsi="Calibri" w:cs="Calibri"/>
          <w:sz w:val="22"/>
          <w:szCs w:val="22"/>
        </w:rPr>
        <w:t>capex</w:t>
      </w:r>
      <w:proofErr w:type="spellEnd"/>
      <w:r w:rsidR="007E073D" w:rsidRPr="007E073D">
        <w:rPr>
          <w:rFonts w:ascii="Calibri" w:hAnsi="Calibri" w:cs="Calibri"/>
          <w:sz w:val="22"/>
          <w:szCs w:val="22"/>
        </w:rPr>
        <w:t xml:space="preserve"> και να υπολογιστούν οι νέες αποσβέσεις για τους μελλοντικούς/υπολειπόμενους χρόνους ζωής.</w:t>
      </w:r>
    </w:p>
    <w:p w14:paraId="46E5BFF7" w14:textId="30E40FE5" w:rsidR="00065121" w:rsidRPr="00063071" w:rsidRDefault="00065121" w:rsidP="00CF67A0">
      <w:pPr>
        <w:pStyle w:val="ab"/>
        <w:spacing w:before="141" w:line="259" w:lineRule="auto"/>
        <w:ind w:right="133"/>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αναφέρει </w:t>
      </w:r>
      <w:r w:rsidRPr="00063071">
        <w:rPr>
          <w:rFonts w:ascii="Calibri" w:hAnsi="Calibri" w:cs="Calibri"/>
          <w:sz w:val="22"/>
          <w:szCs w:val="22"/>
        </w:rPr>
        <w:t>ότι το OPEX που αποδίδεται στο παθητικό δίκτυο και στην ενδοκτιριακή καλωδίωση είναι πολύ μεγάλο</w:t>
      </w:r>
      <w:r w:rsidRPr="00063071">
        <w:rPr>
          <w:rFonts w:ascii="Calibri" w:hAnsi="Calibri" w:cs="Calibri"/>
          <w:spacing w:val="-6"/>
          <w:sz w:val="22"/>
          <w:szCs w:val="22"/>
        </w:rPr>
        <w:t xml:space="preserve"> </w:t>
      </w:r>
      <w:r w:rsidRPr="00063071">
        <w:rPr>
          <w:rFonts w:ascii="Calibri" w:hAnsi="Calibri" w:cs="Calibri"/>
          <w:sz w:val="22"/>
          <w:szCs w:val="22"/>
        </w:rPr>
        <w:t>και</w:t>
      </w:r>
      <w:r w:rsidRPr="00063071">
        <w:rPr>
          <w:rFonts w:ascii="Calibri" w:hAnsi="Calibri" w:cs="Calibri"/>
          <w:spacing w:val="-7"/>
          <w:sz w:val="22"/>
          <w:szCs w:val="22"/>
        </w:rPr>
        <w:t xml:space="preserve"> </w:t>
      </w:r>
      <w:r w:rsidRPr="00063071">
        <w:rPr>
          <w:rFonts w:ascii="Calibri" w:hAnsi="Calibri" w:cs="Calibri"/>
          <w:sz w:val="22"/>
          <w:szCs w:val="22"/>
        </w:rPr>
        <w:t>όχι</w:t>
      </w:r>
      <w:r w:rsidRPr="00063071">
        <w:rPr>
          <w:rFonts w:ascii="Calibri" w:hAnsi="Calibri" w:cs="Calibri"/>
          <w:spacing w:val="-5"/>
          <w:sz w:val="22"/>
          <w:szCs w:val="22"/>
        </w:rPr>
        <w:t xml:space="preserve"> </w:t>
      </w:r>
      <w:r w:rsidRPr="00063071">
        <w:rPr>
          <w:rFonts w:ascii="Calibri" w:hAnsi="Calibri" w:cs="Calibri"/>
          <w:sz w:val="22"/>
          <w:szCs w:val="22"/>
        </w:rPr>
        <w:t>αντίστοιχο</w:t>
      </w:r>
      <w:r w:rsidRPr="00063071">
        <w:rPr>
          <w:rFonts w:ascii="Calibri" w:hAnsi="Calibri" w:cs="Calibri"/>
          <w:spacing w:val="-6"/>
          <w:sz w:val="22"/>
          <w:szCs w:val="22"/>
        </w:rPr>
        <w:t xml:space="preserve"> </w:t>
      </w:r>
      <w:r w:rsidRPr="00063071">
        <w:rPr>
          <w:rFonts w:ascii="Calibri" w:hAnsi="Calibri" w:cs="Calibri"/>
          <w:sz w:val="22"/>
          <w:szCs w:val="22"/>
        </w:rPr>
        <w:t>του</w:t>
      </w:r>
      <w:r w:rsidRPr="00063071">
        <w:rPr>
          <w:rFonts w:ascii="Calibri" w:hAnsi="Calibri" w:cs="Calibri"/>
          <w:spacing w:val="-6"/>
          <w:sz w:val="22"/>
          <w:szCs w:val="22"/>
        </w:rPr>
        <w:t xml:space="preserve"> </w:t>
      </w:r>
      <w:r w:rsidRPr="00063071">
        <w:rPr>
          <w:rFonts w:ascii="Calibri" w:hAnsi="Calibri" w:cs="Calibri"/>
          <w:sz w:val="22"/>
          <w:szCs w:val="22"/>
        </w:rPr>
        <w:t>πραγματικού</w:t>
      </w:r>
      <w:r w:rsidRPr="00063071">
        <w:rPr>
          <w:rFonts w:ascii="Calibri" w:hAnsi="Calibri" w:cs="Calibri"/>
          <w:spacing w:val="-4"/>
          <w:sz w:val="22"/>
          <w:szCs w:val="22"/>
        </w:rPr>
        <w:t xml:space="preserve"> </w:t>
      </w:r>
      <w:r w:rsidRPr="00063071">
        <w:rPr>
          <w:rFonts w:ascii="Calibri" w:hAnsi="Calibri" w:cs="Calibri"/>
          <w:sz w:val="22"/>
          <w:szCs w:val="22"/>
        </w:rPr>
        <w:t>κόστους</w:t>
      </w:r>
      <w:r w:rsidRPr="00063071">
        <w:rPr>
          <w:rFonts w:ascii="Calibri" w:hAnsi="Calibri" w:cs="Calibri"/>
          <w:spacing w:val="-6"/>
          <w:sz w:val="22"/>
          <w:szCs w:val="22"/>
        </w:rPr>
        <w:t xml:space="preserve"> </w:t>
      </w:r>
      <w:r w:rsidRPr="00063071">
        <w:rPr>
          <w:rFonts w:ascii="Calibri" w:hAnsi="Calibri" w:cs="Calibri"/>
          <w:sz w:val="22"/>
          <w:szCs w:val="22"/>
        </w:rPr>
        <w:t>που</w:t>
      </w:r>
      <w:r w:rsidRPr="00063071">
        <w:rPr>
          <w:rFonts w:ascii="Calibri" w:hAnsi="Calibri" w:cs="Calibri"/>
          <w:spacing w:val="-6"/>
          <w:sz w:val="22"/>
          <w:szCs w:val="22"/>
        </w:rPr>
        <w:t xml:space="preserve"> </w:t>
      </w:r>
      <w:r w:rsidRPr="00063071">
        <w:rPr>
          <w:rFonts w:ascii="Calibri" w:hAnsi="Calibri" w:cs="Calibri"/>
          <w:sz w:val="22"/>
          <w:szCs w:val="22"/>
        </w:rPr>
        <w:t>συναντάται</w:t>
      </w:r>
      <w:r w:rsidRPr="00063071">
        <w:rPr>
          <w:rFonts w:ascii="Calibri" w:hAnsi="Calibri" w:cs="Calibri"/>
          <w:spacing w:val="-5"/>
          <w:sz w:val="22"/>
          <w:szCs w:val="22"/>
        </w:rPr>
        <w:t xml:space="preserve"> </w:t>
      </w:r>
      <w:r w:rsidRPr="00063071">
        <w:rPr>
          <w:rFonts w:ascii="Calibri" w:hAnsi="Calibri" w:cs="Calibri"/>
          <w:sz w:val="22"/>
          <w:szCs w:val="22"/>
        </w:rPr>
        <w:t>στις</w:t>
      </w:r>
      <w:r w:rsidRPr="00063071">
        <w:rPr>
          <w:rFonts w:ascii="Calibri" w:hAnsi="Calibri" w:cs="Calibri"/>
          <w:spacing w:val="-6"/>
          <w:sz w:val="22"/>
          <w:szCs w:val="22"/>
        </w:rPr>
        <w:t xml:space="preserve"> </w:t>
      </w:r>
      <w:r w:rsidRPr="00063071">
        <w:rPr>
          <w:rFonts w:ascii="Calibri" w:hAnsi="Calibri" w:cs="Calibri"/>
          <w:sz w:val="22"/>
          <w:szCs w:val="22"/>
        </w:rPr>
        <w:t>μέχρι</w:t>
      </w:r>
      <w:r w:rsidRPr="00063071">
        <w:rPr>
          <w:rFonts w:ascii="Calibri" w:hAnsi="Calibri" w:cs="Calibri"/>
          <w:spacing w:val="-7"/>
          <w:sz w:val="22"/>
          <w:szCs w:val="22"/>
        </w:rPr>
        <w:t xml:space="preserve"> </w:t>
      </w:r>
      <w:r w:rsidRPr="00063071">
        <w:rPr>
          <w:rFonts w:ascii="Calibri" w:hAnsi="Calibri" w:cs="Calibri"/>
          <w:sz w:val="22"/>
          <w:szCs w:val="22"/>
        </w:rPr>
        <w:t>τώρα</w:t>
      </w:r>
      <w:r w:rsidRPr="00063071">
        <w:rPr>
          <w:rFonts w:ascii="Calibri" w:hAnsi="Calibri" w:cs="Calibri"/>
          <w:spacing w:val="-5"/>
          <w:sz w:val="22"/>
          <w:szCs w:val="22"/>
        </w:rPr>
        <w:t xml:space="preserve"> </w:t>
      </w:r>
      <w:r w:rsidRPr="00063071">
        <w:rPr>
          <w:rFonts w:ascii="Calibri" w:hAnsi="Calibri" w:cs="Calibri"/>
          <w:sz w:val="22"/>
          <w:szCs w:val="22"/>
        </w:rPr>
        <w:t>υλοποιήσεις</w:t>
      </w:r>
      <w:r w:rsidRPr="00063071">
        <w:rPr>
          <w:rFonts w:ascii="Calibri" w:hAnsi="Calibri" w:cs="Calibri"/>
          <w:spacing w:val="-4"/>
          <w:sz w:val="22"/>
          <w:szCs w:val="22"/>
        </w:rPr>
        <w:t xml:space="preserve"> </w:t>
      </w:r>
      <w:r w:rsidRPr="00063071">
        <w:rPr>
          <w:rFonts w:ascii="Calibri" w:hAnsi="Calibri" w:cs="Calibri"/>
          <w:sz w:val="22"/>
          <w:szCs w:val="22"/>
        </w:rPr>
        <w:t>FTTH</w:t>
      </w:r>
      <w:r>
        <w:rPr>
          <w:rFonts w:ascii="Calibri" w:hAnsi="Calibri" w:cs="Calibri"/>
          <w:sz w:val="22"/>
          <w:szCs w:val="22"/>
        </w:rPr>
        <w:t xml:space="preserve">, λόγω του υπολογισμού του ως ποσοστό επί </w:t>
      </w:r>
      <w:r w:rsidRPr="00063071">
        <w:rPr>
          <w:rFonts w:ascii="Calibri" w:hAnsi="Calibri" w:cs="Calibri"/>
          <w:sz w:val="22"/>
          <w:szCs w:val="22"/>
        </w:rPr>
        <w:t>του CAPEX</w:t>
      </w:r>
      <w:r>
        <w:rPr>
          <w:rFonts w:ascii="Calibri" w:hAnsi="Calibri" w:cs="Calibri"/>
          <w:sz w:val="22"/>
          <w:szCs w:val="22"/>
        </w:rPr>
        <w:t xml:space="preserve">, αναφέροντας ότι στην πράξη, </w:t>
      </w:r>
      <w:r w:rsidRPr="00063071">
        <w:rPr>
          <w:rFonts w:ascii="Calibri" w:hAnsi="Calibri" w:cs="Calibri"/>
          <w:sz w:val="22"/>
          <w:szCs w:val="22"/>
        </w:rPr>
        <w:t>οι</w:t>
      </w:r>
      <w:r w:rsidRPr="00063071">
        <w:rPr>
          <w:rFonts w:ascii="Calibri" w:hAnsi="Calibri" w:cs="Calibri"/>
          <w:spacing w:val="-12"/>
          <w:sz w:val="22"/>
          <w:szCs w:val="22"/>
        </w:rPr>
        <w:t xml:space="preserve"> </w:t>
      </w:r>
      <w:r w:rsidRPr="00063071">
        <w:rPr>
          <w:rFonts w:ascii="Calibri" w:hAnsi="Calibri" w:cs="Calibri"/>
          <w:sz w:val="22"/>
          <w:szCs w:val="22"/>
        </w:rPr>
        <w:t>βλάβες</w:t>
      </w:r>
      <w:r w:rsidRPr="00063071">
        <w:rPr>
          <w:rFonts w:ascii="Calibri" w:hAnsi="Calibri" w:cs="Calibri"/>
          <w:spacing w:val="-13"/>
          <w:sz w:val="22"/>
          <w:szCs w:val="22"/>
        </w:rPr>
        <w:t xml:space="preserve"> </w:t>
      </w:r>
      <w:r w:rsidRPr="00063071">
        <w:rPr>
          <w:rFonts w:ascii="Calibri" w:hAnsi="Calibri" w:cs="Calibri"/>
          <w:sz w:val="22"/>
          <w:szCs w:val="22"/>
        </w:rPr>
        <w:t>του</w:t>
      </w:r>
      <w:r w:rsidRPr="00063071">
        <w:rPr>
          <w:rFonts w:ascii="Calibri" w:hAnsi="Calibri" w:cs="Calibri"/>
          <w:spacing w:val="-12"/>
          <w:sz w:val="22"/>
          <w:szCs w:val="22"/>
        </w:rPr>
        <w:t xml:space="preserve"> </w:t>
      </w:r>
      <w:r w:rsidRPr="00063071">
        <w:rPr>
          <w:rFonts w:ascii="Calibri" w:hAnsi="Calibri" w:cs="Calibri"/>
          <w:sz w:val="22"/>
          <w:szCs w:val="22"/>
        </w:rPr>
        <w:t>παθητικού</w:t>
      </w:r>
      <w:r w:rsidRPr="00063071">
        <w:rPr>
          <w:rFonts w:ascii="Calibri" w:hAnsi="Calibri" w:cs="Calibri"/>
          <w:spacing w:val="-13"/>
          <w:sz w:val="22"/>
          <w:szCs w:val="22"/>
        </w:rPr>
        <w:t xml:space="preserve"> </w:t>
      </w:r>
      <w:r w:rsidRPr="00063071">
        <w:rPr>
          <w:rFonts w:ascii="Calibri" w:hAnsi="Calibri" w:cs="Calibri"/>
          <w:sz w:val="22"/>
          <w:szCs w:val="22"/>
        </w:rPr>
        <w:t>δικτύου</w:t>
      </w:r>
      <w:r w:rsidRPr="00063071">
        <w:rPr>
          <w:rFonts w:ascii="Calibri" w:hAnsi="Calibri" w:cs="Calibri"/>
          <w:spacing w:val="-12"/>
          <w:sz w:val="22"/>
          <w:szCs w:val="22"/>
        </w:rPr>
        <w:t xml:space="preserve"> </w:t>
      </w:r>
      <w:r w:rsidRPr="00063071">
        <w:rPr>
          <w:rFonts w:ascii="Calibri" w:hAnsi="Calibri" w:cs="Calibri"/>
          <w:sz w:val="22"/>
          <w:szCs w:val="22"/>
        </w:rPr>
        <w:t>και</w:t>
      </w:r>
      <w:r w:rsidRPr="00063071">
        <w:rPr>
          <w:rFonts w:ascii="Calibri" w:hAnsi="Calibri" w:cs="Calibri"/>
          <w:spacing w:val="-12"/>
          <w:sz w:val="22"/>
          <w:szCs w:val="22"/>
        </w:rPr>
        <w:t xml:space="preserve"> </w:t>
      </w:r>
      <w:r w:rsidRPr="00063071">
        <w:rPr>
          <w:rFonts w:ascii="Calibri" w:hAnsi="Calibri" w:cs="Calibri"/>
          <w:sz w:val="22"/>
          <w:szCs w:val="22"/>
        </w:rPr>
        <w:t>της</w:t>
      </w:r>
      <w:r w:rsidRPr="00063071">
        <w:rPr>
          <w:rFonts w:ascii="Calibri" w:hAnsi="Calibri" w:cs="Calibri"/>
          <w:spacing w:val="-13"/>
          <w:sz w:val="22"/>
          <w:szCs w:val="22"/>
        </w:rPr>
        <w:t xml:space="preserve"> </w:t>
      </w:r>
      <w:r w:rsidRPr="00063071">
        <w:rPr>
          <w:rFonts w:ascii="Calibri" w:hAnsi="Calibri" w:cs="Calibri"/>
          <w:sz w:val="22"/>
          <w:szCs w:val="22"/>
        </w:rPr>
        <w:t>ενδοκτιριακής</w:t>
      </w:r>
      <w:r w:rsidRPr="00063071">
        <w:rPr>
          <w:rFonts w:ascii="Calibri" w:hAnsi="Calibri" w:cs="Calibri"/>
          <w:spacing w:val="-12"/>
          <w:sz w:val="22"/>
          <w:szCs w:val="22"/>
        </w:rPr>
        <w:t xml:space="preserve"> </w:t>
      </w:r>
      <w:r w:rsidRPr="00063071">
        <w:rPr>
          <w:rFonts w:ascii="Calibri" w:hAnsi="Calibri" w:cs="Calibri"/>
          <w:sz w:val="22"/>
          <w:szCs w:val="22"/>
        </w:rPr>
        <w:t>καλωδίωσης</w:t>
      </w:r>
      <w:r w:rsidRPr="00063071">
        <w:rPr>
          <w:rFonts w:ascii="Calibri" w:hAnsi="Calibri" w:cs="Calibri"/>
          <w:spacing w:val="-13"/>
          <w:sz w:val="22"/>
          <w:szCs w:val="22"/>
        </w:rPr>
        <w:t xml:space="preserve"> </w:t>
      </w:r>
      <w:r w:rsidRPr="00063071">
        <w:rPr>
          <w:rFonts w:ascii="Calibri" w:hAnsi="Calibri" w:cs="Calibri"/>
          <w:sz w:val="22"/>
          <w:szCs w:val="22"/>
        </w:rPr>
        <w:t>αποτελούν</w:t>
      </w:r>
      <w:r w:rsidRPr="00063071">
        <w:rPr>
          <w:rFonts w:ascii="Calibri" w:hAnsi="Calibri" w:cs="Calibri"/>
          <w:spacing w:val="-12"/>
          <w:sz w:val="22"/>
          <w:szCs w:val="22"/>
        </w:rPr>
        <w:t xml:space="preserve"> </w:t>
      </w:r>
      <w:r w:rsidRPr="00063071">
        <w:rPr>
          <w:rFonts w:ascii="Calibri" w:hAnsi="Calibri" w:cs="Calibri"/>
          <w:sz w:val="22"/>
          <w:szCs w:val="22"/>
        </w:rPr>
        <w:t xml:space="preserve">εργασίες που αμείβονται κατ’ </w:t>
      </w:r>
      <w:proofErr w:type="spellStart"/>
      <w:r w:rsidRPr="00063071">
        <w:rPr>
          <w:rFonts w:ascii="Calibri" w:hAnsi="Calibri" w:cs="Calibri"/>
          <w:sz w:val="22"/>
          <w:szCs w:val="22"/>
        </w:rPr>
        <w:t>αποκοπήν</w:t>
      </w:r>
      <w:proofErr w:type="spellEnd"/>
      <w:r>
        <w:rPr>
          <w:rFonts w:ascii="Calibri" w:hAnsi="Calibri" w:cs="Calibri"/>
          <w:sz w:val="22"/>
          <w:szCs w:val="22"/>
        </w:rPr>
        <w:t xml:space="preserve"> και</w:t>
      </w:r>
      <w:r w:rsidRPr="00063071">
        <w:rPr>
          <w:rFonts w:ascii="Calibri" w:hAnsi="Calibri" w:cs="Calibri"/>
          <w:sz w:val="22"/>
          <w:szCs w:val="22"/>
        </w:rPr>
        <w:t xml:space="preserve"> ότι το ποσοστό των βλαβών είναι ελάχιστο.</w:t>
      </w:r>
    </w:p>
    <w:p w14:paraId="2A1E0D9D" w14:textId="6DE0B425" w:rsidR="00065121" w:rsidRDefault="00065121" w:rsidP="00CF67A0">
      <w:pPr>
        <w:pStyle w:val="ab"/>
        <w:spacing w:before="141" w:line="259" w:lineRule="auto"/>
        <w:ind w:right="133"/>
        <w:rPr>
          <w:rFonts w:ascii="Calibri" w:hAnsi="Calibri" w:cs="Calibri"/>
          <w:sz w:val="22"/>
          <w:szCs w:val="22"/>
        </w:rPr>
      </w:pPr>
      <w:r w:rsidRPr="00065121">
        <w:rPr>
          <w:rFonts w:ascii="Calibri" w:hAnsi="Calibri" w:cs="Calibri"/>
          <w:sz w:val="22"/>
          <w:szCs w:val="22"/>
        </w:rPr>
        <w:t xml:space="preserve">Ένας πάροχος </w:t>
      </w:r>
      <w:r w:rsidR="003C28FC">
        <w:rPr>
          <w:rFonts w:ascii="Calibri" w:hAnsi="Calibri" w:cs="Calibri"/>
          <w:sz w:val="22"/>
          <w:szCs w:val="22"/>
        </w:rPr>
        <w:t>(----)</w:t>
      </w:r>
      <w:r w:rsidRPr="00065121">
        <w:rPr>
          <w:rFonts w:ascii="Calibri" w:hAnsi="Calibri" w:cs="Calibri"/>
          <w:sz w:val="22"/>
          <w:szCs w:val="22"/>
        </w:rPr>
        <w:t xml:space="preserve">, αναφέρει ότι στους υπολογισμούς των </w:t>
      </w:r>
      <w:proofErr w:type="spellStart"/>
      <w:r w:rsidRPr="00065121">
        <w:rPr>
          <w:rFonts w:ascii="Calibri" w:hAnsi="Calibri" w:cs="Calibri"/>
          <w:sz w:val="22"/>
          <w:szCs w:val="22"/>
        </w:rPr>
        <w:t>SDUs</w:t>
      </w:r>
      <w:proofErr w:type="spellEnd"/>
      <w:r w:rsidRPr="00065121">
        <w:rPr>
          <w:rFonts w:ascii="Calibri" w:hAnsi="Calibri" w:cs="Calibri"/>
          <w:sz w:val="22"/>
          <w:szCs w:val="22"/>
        </w:rPr>
        <w:t xml:space="preserve"> και </w:t>
      </w:r>
      <w:proofErr w:type="spellStart"/>
      <w:r w:rsidRPr="00065121">
        <w:rPr>
          <w:rFonts w:ascii="Calibri" w:hAnsi="Calibri" w:cs="Calibri"/>
          <w:sz w:val="22"/>
          <w:szCs w:val="22"/>
        </w:rPr>
        <w:t>MDUs</w:t>
      </w:r>
      <w:proofErr w:type="spellEnd"/>
      <w:r w:rsidRPr="00065121">
        <w:rPr>
          <w:rFonts w:ascii="Calibri" w:hAnsi="Calibri" w:cs="Calibri"/>
          <w:sz w:val="22"/>
          <w:szCs w:val="22"/>
        </w:rPr>
        <w:t xml:space="preserve"> δεν ακολουθούνται τα πρότυπα της νέας ΚΥΑ 53538/ΕΞ2023/23, δηλαδή κατηγοριοποίηση των κτιρίων σε κτίρια στα οποία απαιτείται </w:t>
      </w:r>
      <w:proofErr w:type="spellStart"/>
      <w:r w:rsidRPr="00065121">
        <w:rPr>
          <w:rFonts w:ascii="Calibri" w:hAnsi="Calibri" w:cs="Calibri"/>
          <w:sz w:val="22"/>
          <w:szCs w:val="22"/>
        </w:rPr>
        <w:t>floor</w:t>
      </w:r>
      <w:proofErr w:type="spellEnd"/>
      <w:r w:rsidRPr="00065121">
        <w:rPr>
          <w:rFonts w:ascii="Calibri" w:hAnsi="Calibri" w:cs="Calibri"/>
          <w:sz w:val="22"/>
          <w:szCs w:val="22"/>
        </w:rPr>
        <w:t xml:space="preserve"> </w:t>
      </w:r>
      <w:proofErr w:type="spellStart"/>
      <w:r w:rsidRPr="00065121">
        <w:rPr>
          <w:rFonts w:ascii="Calibri" w:hAnsi="Calibri" w:cs="Calibri"/>
          <w:sz w:val="22"/>
          <w:szCs w:val="22"/>
        </w:rPr>
        <w:t>box</w:t>
      </w:r>
      <w:proofErr w:type="spellEnd"/>
      <w:r w:rsidRPr="00065121">
        <w:rPr>
          <w:rFonts w:ascii="Calibri" w:hAnsi="Calibri" w:cs="Calibri"/>
          <w:sz w:val="22"/>
          <w:szCs w:val="22"/>
        </w:rPr>
        <w:t>, και σε κτίρια μέχρι 2 επίπεδα για τα οποία δεν απαιτείται η εγκατάσταση FB, και προτείνει να χρησιμοποιηθούν γεωχωρικά δεδομένα, ώστε να βελτιωθεί η ακρίβεια των υπολογισμών και η ρεαλιστική αποτύπωση του παθητικού δικτύου.</w:t>
      </w:r>
    </w:p>
    <w:p w14:paraId="2FC2265F" w14:textId="5674AADE" w:rsidR="00CF67A0" w:rsidRPr="00CF67A0" w:rsidRDefault="00CF67A0" w:rsidP="00CF67A0">
      <w:pPr>
        <w:pStyle w:val="ab"/>
        <w:spacing w:before="141" w:line="259" w:lineRule="auto"/>
        <w:ind w:right="133"/>
        <w:rPr>
          <w:rFonts w:ascii="Calibri" w:hAnsi="Calibri" w:cs="Calibri"/>
          <w:sz w:val="22"/>
          <w:szCs w:val="22"/>
        </w:rPr>
      </w:pPr>
      <w:r w:rsidRPr="00CF67A0">
        <w:rPr>
          <w:rFonts w:ascii="Calibri" w:hAnsi="Calibri" w:cs="Calibri"/>
          <w:sz w:val="22"/>
          <w:szCs w:val="22"/>
        </w:rPr>
        <w:t xml:space="preserve">Ένας συμμετέχων </w:t>
      </w:r>
      <w:r w:rsidR="003C28FC">
        <w:rPr>
          <w:rFonts w:ascii="Calibri" w:hAnsi="Calibri" w:cs="Calibri"/>
          <w:sz w:val="22"/>
          <w:szCs w:val="22"/>
        </w:rPr>
        <w:t>(----)</w:t>
      </w:r>
      <w:r w:rsidRPr="00CF67A0">
        <w:rPr>
          <w:rFonts w:ascii="Calibri" w:hAnsi="Calibri" w:cs="Calibri"/>
          <w:sz w:val="22"/>
          <w:szCs w:val="22"/>
        </w:rPr>
        <w:t xml:space="preserve"> συμφωνεί με τη διάκριση τεσσάρων κατηγοριών κτιρίων ως προς τη μέθοδο και το φορέα υλοποίησης της ενδοκτηριακής καλωδίωσης, καθώς και την αντίστοιχη εφαρμογή τελών Floor Box.</w:t>
      </w:r>
    </w:p>
    <w:p w14:paraId="0EBC51C1" w14:textId="2DA09F60" w:rsidR="008E26D2" w:rsidRPr="008E26D2" w:rsidRDefault="008E26D2" w:rsidP="008E26D2">
      <w:pPr>
        <w:pStyle w:val="ab"/>
        <w:spacing w:before="141" w:line="259" w:lineRule="auto"/>
        <w:ind w:right="133"/>
        <w:rPr>
          <w:rFonts w:ascii="Calibri" w:hAnsi="Calibri" w:cs="Calibri"/>
          <w:sz w:val="22"/>
          <w:szCs w:val="22"/>
        </w:rPr>
      </w:pPr>
      <w:r w:rsidRPr="008E26D2">
        <w:rPr>
          <w:rFonts w:ascii="Calibri" w:hAnsi="Calibri" w:cs="Calibri"/>
          <w:sz w:val="22"/>
          <w:szCs w:val="22"/>
        </w:rPr>
        <w:t xml:space="preserve">Ένας συμμετέχων </w:t>
      </w:r>
      <w:r w:rsidR="003C28FC">
        <w:rPr>
          <w:rFonts w:ascii="Calibri" w:hAnsi="Calibri" w:cs="Calibri"/>
          <w:sz w:val="22"/>
          <w:szCs w:val="22"/>
        </w:rPr>
        <w:t>(----)</w:t>
      </w:r>
      <w:r w:rsidRPr="008E26D2">
        <w:rPr>
          <w:rFonts w:ascii="Calibri" w:hAnsi="Calibri" w:cs="Calibri"/>
          <w:sz w:val="22"/>
          <w:szCs w:val="22"/>
        </w:rPr>
        <w:t xml:space="preserve"> διαφωνεί με την προσέγγιση της ΕΕΤΤ ότι η τοποθέτηση Floor Box ξεκινά από το επίπεδο +1 του κτιρίου. Ειδικότερα αναφέρει ότι σύμφωνα με τις προδιαγραφές της ΚΥΑ σε κτίρια στα οποία οι συνδρομητικές διεπαφές του κτιρίου είναι έως τέσσερις και κατανεμημένες σε έως δύο επίπεδα, οι δευτερεύοντες κατανεμητές (</w:t>
      </w:r>
      <w:proofErr w:type="spellStart"/>
      <w:r w:rsidRPr="008E26D2">
        <w:rPr>
          <w:rFonts w:ascii="Calibri" w:hAnsi="Calibri" w:cs="Calibri"/>
          <w:sz w:val="22"/>
          <w:szCs w:val="22"/>
        </w:rPr>
        <w:t>floor</w:t>
      </w:r>
      <w:proofErr w:type="spellEnd"/>
      <w:r w:rsidRPr="008E26D2">
        <w:rPr>
          <w:rFonts w:ascii="Calibri" w:hAnsi="Calibri" w:cs="Calibri"/>
          <w:sz w:val="22"/>
          <w:szCs w:val="22"/>
        </w:rPr>
        <w:t xml:space="preserve"> </w:t>
      </w:r>
      <w:proofErr w:type="spellStart"/>
      <w:r w:rsidRPr="008E26D2">
        <w:rPr>
          <w:rFonts w:ascii="Calibri" w:hAnsi="Calibri" w:cs="Calibri"/>
          <w:sz w:val="22"/>
          <w:szCs w:val="22"/>
        </w:rPr>
        <w:t>box</w:t>
      </w:r>
      <w:proofErr w:type="spellEnd"/>
      <w:r w:rsidRPr="008E26D2">
        <w:rPr>
          <w:rFonts w:ascii="Calibri" w:hAnsi="Calibri" w:cs="Calibri"/>
          <w:sz w:val="22"/>
          <w:szCs w:val="22"/>
        </w:rPr>
        <w:t xml:space="preserve">) μπορούν να παραληφθούν και όλες οι συνδρομητικές διεπαφές να συνδέονται απ’ ευθείας στον κεντρικό κατανεμητή. Συνεπώς, στις πολυκατοικίες (MDU) των οποίων η πλειονότητα διαθέτει περισσότερες των τεσσάρων διεπαφών η τοποθέτηση του Floor </w:t>
      </w:r>
      <w:proofErr w:type="spellStart"/>
      <w:r w:rsidRPr="008E26D2">
        <w:rPr>
          <w:rFonts w:ascii="Calibri" w:hAnsi="Calibri" w:cs="Calibri"/>
          <w:sz w:val="22"/>
          <w:szCs w:val="22"/>
        </w:rPr>
        <w:t>box</w:t>
      </w:r>
      <w:proofErr w:type="spellEnd"/>
      <w:r w:rsidRPr="008E26D2">
        <w:rPr>
          <w:rFonts w:ascii="Calibri" w:hAnsi="Calibri" w:cs="Calibri"/>
          <w:sz w:val="22"/>
          <w:szCs w:val="22"/>
        </w:rPr>
        <w:t xml:space="preserve"> πρέπει να θεωρηθεί πως εκκινεί από το επίπεδο 0 έναντι του +1.</w:t>
      </w:r>
    </w:p>
    <w:p w14:paraId="203A8A3B"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5FC7A11C" w14:textId="5D264539"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66490C">
        <w:rPr>
          <w:rFonts w:ascii="Calibri" w:hAnsi="Calibri" w:cs="Calibri"/>
          <w:b/>
          <w:color w:val="1F4E79" w:themeColor="accent1" w:themeShade="80"/>
          <w:sz w:val="22"/>
          <w:szCs w:val="22"/>
          <w:u w:val="single"/>
        </w:rPr>
        <w:t>11</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102E4134" w14:textId="666520AE" w:rsidR="00EB62CF" w:rsidRDefault="0066490C" w:rsidP="00CF67A0">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Όπως αναφέρθηκε και σε προηγούμενη απάντηση (Α.1), η ΕΕΤΤ σημειώνει ότι προχώρησε σε εκτεταμένη επικαιροποίηση της διαστασιοποίησης και της ενδοκτιριακής καλωδίωσης χρησιμοποιώντας τα πλέον πρόσφατα στοιχεία της απογραφής κτιρίων της ΕΛΣΤΑΤ (2021), που αφορούν τόσο πολυκατοικίες όσο και μονοκατοικίες, ενώ οι αναφορές της </w:t>
      </w:r>
      <w:r w:rsidRPr="007E5B41">
        <w:rPr>
          <w:rFonts w:ascii="Calibri" w:hAnsi="Calibri" w:cs="Calibri"/>
          <w:color w:val="1F4E79" w:themeColor="accent1" w:themeShade="80"/>
          <w:sz w:val="22"/>
          <w:szCs w:val="22"/>
        </w:rPr>
        <w:t>ΚΥΑ 53538/ΕΞ2023/23</w:t>
      </w:r>
      <w:r>
        <w:rPr>
          <w:rFonts w:ascii="Calibri" w:hAnsi="Calibri" w:cs="Calibri"/>
          <w:color w:val="1F4E79" w:themeColor="accent1" w:themeShade="80"/>
          <w:sz w:val="22"/>
          <w:szCs w:val="22"/>
        </w:rPr>
        <w:t xml:space="preserve"> σχετικά με την μη κατασκευή </w:t>
      </w:r>
      <w:r>
        <w:rPr>
          <w:rFonts w:ascii="Calibri" w:hAnsi="Calibri" w:cs="Calibri"/>
          <w:color w:val="1F4E79" w:themeColor="accent1" w:themeShade="80"/>
          <w:sz w:val="22"/>
          <w:szCs w:val="22"/>
          <w:lang w:val="en-US"/>
        </w:rPr>
        <w:t>floor</w:t>
      </w:r>
      <w:r w:rsidRPr="007E5B41">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box</w:t>
      </w:r>
      <w:r w:rsidRPr="007E5B41">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σε κτίρια με έως 2 επίπεδα, έχουν πλέον ληφθεί υπόψη θεωρώντας τις διπλοκατοικίες ως μονοκατοικίες.</w:t>
      </w:r>
      <w:r w:rsidR="00CE4B1A">
        <w:rPr>
          <w:rFonts w:ascii="Calibri" w:hAnsi="Calibri" w:cs="Calibri"/>
          <w:color w:val="1F4E79" w:themeColor="accent1" w:themeShade="80"/>
          <w:sz w:val="22"/>
          <w:szCs w:val="22"/>
        </w:rPr>
        <w:t xml:space="preserve"> </w:t>
      </w:r>
    </w:p>
    <w:p w14:paraId="3F58C887" w14:textId="13AAF98F" w:rsidR="00CE4B1A" w:rsidRPr="00EB62CF" w:rsidRDefault="00FC2582" w:rsidP="00CF67A0">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Επιπλέον, </w:t>
      </w:r>
      <w:r w:rsidR="00EB62CF">
        <w:rPr>
          <w:rFonts w:ascii="Calibri" w:hAnsi="Calibri" w:cs="Calibri"/>
          <w:color w:val="1F4E79" w:themeColor="accent1" w:themeShade="80"/>
          <w:sz w:val="22"/>
          <w:szCs w:val="22"/>
        </w:rPr>
        <w:t xml:space="preserve">αναφορικά με την εγκατάσταση </w:t>
      </w:r>
      <w:r w:rsidR="00EB62CF">
        <w:rPr>
          <w:rFonts w:ascii="Calibri" w:hAnsi="Calibri" w:cs="Calibri"/>
          <w:color w:val="1F4E79" w:themeColor="accent1" w:themeShade="80"/>
          <w:sz w:val="22"/>
          <w:szCs w:val="22"/>
          <w:lang w:val="en-US"/>
        </w:rPr>
        <w:t>Floor</w:t>
      </w:r>
      <w:r w:rsidR="00EB62CF" w:rsidRPr="00EB62CF">
        <w:rPr>
          <w:rFonts w:ascii="Calibri" w:hAnsi="Calibri" w:cs="Calibri"/>
          <w:color w:val="1F4E79" w:themeColor="accent1" w:themeShade="80"/>
          <w:sz w:val="22"/>
          <w:szCs w:val="22"/>
        </w:rPr>
        <w:t xml:space="preserve"> </w:t>
      </w:r>
      <w:r w:rsidR="00EB62CF">
        <w:rPr>
          <w:rFonts w:ascii="Calibri" w:hAnsi="Calibri" w:cs="Calibri"/>
          <w:color w:val="1F4E79" w:themeColor="accent1" w:themeShade="80"/>
          <w:sz w:val="22"/>
          <w:szCs w:val="22"/>
          <w:lang w:val="en-US"/>
        </w:rPr>
        <w:t>Box</w:t>
      </w:r>
      <w:r w:rsidR="00EB62CF" w:rsidRPr="00EB62CF">
        <w:rPr>
          <w:rFonts w:ascii="Calibri" w:hAnsi="Calibri" w:cs="Calibri"/>
          <w:color w:val="1F4E79" w:themeColor="accent1" w:themeShade="80"/>
          <w:sz w:val="22"/>
          <w:szCs w:val="22"/>
        </w:rPr>
        <w:t xml:space="preserve"> </w:t>
      </w:r>
      <w:r w:rsidR="00EB62CF">
        <w:rPr>
          <w:rFonts w:ascii="Calibri" w:hAnsi="Calibri" w:cs="Calibri"/>
          <w:color w:val="1F4E79" w:themeColor="accent1" w:themeShade="80"/>
          <w:sz w:val="22"/>
          <w:szCs w:val="22"/>
        </w:rPr>
        <w:t xml:space="preserve">στα επίπεδα των </w:t>
      </w:r>
      <w:r w:rsidR="00EB62CF">
        <w:rPr>
          <w:rFonts w:ascii="Calibri" w:hAnsi="Calibri" w:cs="Calibri"/>
          <w:color w:val="1F4E79" w:themeColor="accent1" w:themeShade="80"/>
          <w:sz w:val="22"/>
          <w:szCs w:val="22"/>
          <w:lang w:val="en-US"/>
        </w:rPr>
        <w:t>MDUs</w:t>
      </w:r>
      <w:r w:rsidR="00EB62CF" w:rsidRPr="00EB62CF">
        <w:rPr>
          <w:rFonts w:ascii="Calibri" w:hAnsi="Calibri" w:cs="Calibri"/>
          <w:color w:val="1F4E79" w:themeColor="accent1" w:themeShade="80"/>
          <w:sz w:val="22"/>
          <w:szCs w:val="22"/>
        </w:rPr>
        <w:t>,</w:t>
      </w:r>
      <w:r w:rsidR="00EB62CF">
        <w:rPr>
          <w:rFonts w:ascii="Calibri" w:hAnsi="Calibri" w:cs="Calibri"/>
          <w:color w:val="1F4E79" w:themeColor="accent1" w:themeShade="80"/>
          <w:sz w:val="22"/>
          <w:szCs w:val="22"/>
        </w:rPr>
        <w:t xml:space="preserve"> σημειώνεται ότι </w:t>
      </w:r>
      <w:r>
        <w:rPr>
          <w:rFonts w:ascii="Calibri" w:hAnsi="Calibri" w:cs="Calibri"/>
          <w:color w:val="1F4E79" w:themeColor="accent1" w:themeShade="80"/>
          <w:sz w:val="22"/>
          <w:szCs w:val="22"/>
        </w:rPr>
        <w:t xml:space="preserve">στον υπολογισμό του μέσου πλήθους ορόφων ανά ΑΚ έχουν </w:t>
      </w:r>
      <w:r w:rsidR="00EB62CF">
        <w:rPr>
          <w:rFonts w:ascii="Calibri" w:hAnsi="Calibri" w:cs="Calibri"/>
          <w:color w:val="1F4E79" w:themeColor="accent1" w:themeShade="80"/>
          <w:sz w:val="22"/>
          <w:szCs w:val="22"/>
        </w:rPr>
        <w:t xml:space="preserve">αφαιρεθεί </w:t>
      </w:r>
      <w:r>
        <w:rPr>
          <w:rFonts w:ascii="Calibri" w:hAnsi="Calibri" w:cs="Calibri"/>
          <w:color w:val="1F4E79" w:themeColor="accent1" w:themeShade="80"/>
          <w:sz w:val="22"/>
          <w:szCs w:val="22"/>
        </w:rPr>
        <w:t xml:space="preserve">οι πυλωτές των πολυκατοικιών </w:t>
      </w:r>
      <w:r w:rsidR="00EB62CF">
        <w:rPr>
          <w:rFonts w:ascii="Calibri" w:hAnsi="Calibri" w:cs="Calibri"/>
          <w:color w:val="1F4E79" w:themeColor="accent1" w:themeShade="80"/>
          <w:sz w:val="22"/>
          <w:szCs w:val="22"/>
        </w:rPr>
        <w:t xml:space="preserve">βάσει των στοιχείων της ΕΛΣΤΑΤ (απογραφή κτιρίων 2021) </w:t>
      </w:r>
      <w:r>
        <w:rPr>
          <w:rFonts w:ascii="Calibri" w:hAnsi="Calibri" w:cs="Calibri"/>
          <w:color w:val="1F4E79" w:themeColor="accent1" w:themeShade="80"/>
          <w:sz w:val="22"/>
          <w:szCs w:val="22"/>
        </w:rPr>
        <w:t xml:space="preserve">προς αποφυγή </w:t>
      </w:r>
      <w:r w:rsidR="00EB62CF">
        <w:rPr>
          <w:rFonts w:ascii="Calibri" w:hAnsi="Calibri" w:cs="Calibri"/>
          <w:color w:val="1F4E79" w:themeColor="accent1" w:themeShade="80"/>
          <w:sz w:val="22"/>
          <w:szCs w:val="22"/>
        </w:rPr>
        <w:t xml:space="preserve">τοποθέτησης </w:t>
      </w:r>
      <w:r w:rsidR="00EB62CF">
        <w:rPr>
          <w:rFonts w:ascii="Calibri" w:hAnsi="Calibri" w:cs="Calibri"/>
          <w:color w:val="1F4E79" w:themeColor="accent1" w:themeShade="80"/>
          <w:sz w:val="22"/>
          <w:szCs w:val="22"/>
          <w:lang w:val="en-US"/>
        </w:rPr>
        <w:t>Floor</w:t>
      </w:r>
      <w:r w:rsidR="00EB62CF" w:rsidRPr="00EB62CF">
        <w:rPr>
          <w:rFonts w:ascii="Calibri" w:hAnsi="Calibri" w:cs="Calibri"/>
          <w:color w:val="1F4E79" w:themeColor="accent1" w:themeShade="80"/>
          <w:sz w:val="22"/>
          <w:szCs w:val="22"/>
        </w:rPr>
        <w:t xml:space="preserve"> </w:t>
      </w:r>
      <w:r w:rsidR="00EB62CF">
        <w:rPr>
          <w:rFonts w:ascii="Calibri" w:hAnsi="Calibri" w:cs="Calibri"/>
          <w:color w:val="1F4E79" w:themeColor="accent1" w:themeShade="80"/>
          <w:sz w:val="22"/>
          <w:szCs w:val="22"/>
          <w:lang w:val="en-US"/>
        </w:rPr>
        <w:t>Box</w:t>
      </w:r>
      <w:r w:rsidR="00EB62CF" w:rsidRPr="00EB62CF">
        <w:rPr>
          <w:rFonts w:ascii="Calibri" w:hAnsi="Calibri" w:cs="Calibri"/>
          <w:color w:val="1F4E79" w:themeColor="accent1" w:themeShade="80"/>
          <w:sz w:val="22"/>
          <w:szCs w:val="22"/>
        </w:rPr>
        <w:t xml:space="preserve"> </w:t>
      </w:r>
      <w:r w:rsidR="00EB62CF">
        <w:rPr>
          <w:rFonts w:ascii="Calibri" w:hAnsi="Calibri" w:cs="Calibri"/>
          <w:color w:val="1F4E79" w:themeColor="accent1" w:themeShade="80"/>
          <w:sz w:val="22"/>
          <w:szCs w:val="22"/>
        </w:rPr>
        <w:t>στο επίπεδο 0 σε περιπτώσεις πυλωτών.</w:t>
      </w:r>
    </w:p>
    <w:p w14:paraId="186D2F74" w14:textId="7E430897" w:rsidR="00CF67A0" w:rsidRPr="00CE4B1A" w:rsidRDefault="00CE4B1A" w:rsidP="00CF67A0">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lastRenderedPageBreak/>
        <w:t xml:space="preserve">Ωστόσο, λαμβάνοντας υπόψη τα σχόλια των συμμετεχόντων, η ΕΕΤΤ θεωρεί εύλογη μία αύξηση στο </w:t>
      </w:r>
      <w:r>
        <w:rPr>
          <w:rFonts w:ascii="Calibri" w:hAnsi="Calibri" w:cs="Calibri"/>
          <w:color w:val="1F4E79" w:themeColor="accent1" w:themeShade="80"/>
          <w:sz w:val="22"/>
          <w:szCs w:val="22"/>
          <w:lang w:val="en-US"/>
        </w:rPr>
        <w:t>CAPEX</w:t>
      </w:r>
      <w:r w:rsidRPr="00CE4B1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των </w:t>
      </w:r>
      <w:r>
        <w:rPr>
          <w:rFonts w:ascii="Calibri" w:hAnsi="Calibri" w:cs="Calibri"/>
          <w:color w:val="1F4E79" w:themeColor="accent1" w:themeShade="80"/>
          <w:sz w:val="22"/>
          <w:szCs w:val="22"/>
          <w:lang w:val="en-US"/>
        </w:rPr>
        <w:t>BMO</w:t>
      </w:r>
      <w:r>
        <w:rPr>
          <w:rFonts w:ascii="Calibri" w:hAnsi="Calibri" w:cs="Calibri"/>
          <w:color w:val="1F4E79" w:themeColor="accent1" w:themeShade="80"/>
          <w:sz w:val="22"/>
          <w:szCs w:val="22"/>
        </w:rPr>
        <w:t xml:space="preserve"> και </w:t>
      </w:r>
      <w:r>
        <w:rPr>
          <w:rFonts w:ascii="Calibri" w:hAnsi="Calibri" w:cs="Calibri"/>
          <w:color w:val="1F4E79" w:themeColor="accent1" w:themeShade="80"/>
          <w:sz w:val="22"/>
          <w:szCs w:val="22"/>
          <w:lang w:val="en-US"/>
        </w:rPr>
        <w:t>Floor</w:t>
      </w:r>
      <w:r w:rsidRPr="00CE4B1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Box</w:t>
      </w:r>
      <w:r>
        <w:rPr>
          <w:rFonts w:ascii="Calibri" w:hAnsi="Calibri" w:cs="Calibri"/>
          <w:color w:val="1F4E79" w:themeColor="accent1" w:themeShade="80"/>
          <w:sz w:val="22"/>
          <w:szCs w:val="22"/>
        </w:rPr>
        <w:t xml:space="preserve"> της τάξης του ~</w:t>
      </w:r>
      <w:r w:rsidR="009A426D">
        <w:rPr>
          <w:rFonts w:ascii="Calibri" w:hAnsi="Calibri" w:cs="Calibri"/>
          <w:color w:val="1F4E79" w:themeColor="accent1" w:themeShade="80"/>
          <w:sz w:val="22"/>
          <w:szCs w:val="22"/>
        </w:rPr>
        <w:t>5-</w:t>
      </w:r>
      <w:r>
        <w:rPr>
          <w:rFonts w:ascii="Calibri" w:hAnsi="Calibri" w:cs="Calibri"/>
          <w:color w:val="1F4E79" w:themeColor="accent1" w:themeShade="80"/>
          <w:sz w:val="22"/>
          <w:szCs w:val="22"/>
        </w:rPr>
        <w:t>10%</w:t>
      </w:r>
      <w:r w:rsidRPr="00CE4B1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σύμφωνα με τις προδιαγραφές της </w:t>
      </w:r>
      <w:r>
        <w:rPr>
          <w:rFonts w:ascii="Calibri" w:hAnsi="Calibri" w:cs="Calibri"/>
          <w:color w:val="1F4E79" w:themeColor="accent1" w:themeShade="80"/>
          <w:sz w:val="22"/>
          <w:szCs w:val="22"/>
          <w:lang w:val="en-US"/>
        </w:rPr>
        <w:t>KYA</w:t>
      </w:r>
      <w:r>
        <w:rPr>
          <w:rFonts w:ascii="Calibri" w:hAnsi="Calibri" w:cs="Calibri"/>
          <w:color w:val="1F4E79" w:themeColor="accent1" w:themeShade="80"/>
          <w:sz w:val="22"/>
          <w:szCs w:val="22"/>
        </w:rPr>
        <w:t xml:space="preserve">. </w:t>
      </w:r>
      <w:r w:rsidR="00874E44">
        <w:rPr>
          <w:rFonts w:ascii="Calibri" w:hAnsi="Calibri" w:cs="Calibri"/>
          <w:color w:val="1F4E79" w:themeColor="accent1" w:themeShade="80"/>
          <w:sz w:val="22"/>
          <w:szCs w:val="22"/>
        </w:rPr>
        <w:t xml:space="preserve">Συγκεκριμένα το μοναδιαίο κόστος του </w:t>
      </w:r>
      <w:r w:rsidR="00874E44">
        <w:rPr>
          <w:rFonts w:ascii="Calibri" w:hAnsi="Calibri" w:cs="Calibri"/>
          <w:color w:val="1F4E79" w:themeColor="accent1" w:themeShade="80"/>
          <w:sz w:val="22"/>
          <w:szCs w:val="22"/>
          <w:lang w:val="en-US"/>
        </w:rPr>
        <w:t>BMO</w:t>
      </w:r>
      <w:r w:rsidR="00874E44" w:rsidRPr="00874E44">
        <w:rPr>
          <w:rFonts w:ascii="Calibri" w:hAnsi="Calibri" w:cs="Calibri"/>
          <w:color w:val="1F4E79" w:themeColor="accent1" w:themeShade="80"/>
          <w:sz w:val="22"/>
          <w:szCs w:val="22"/>
        </w:rPr>
        <w:t xml:space="preserve"> </w:t>
      </w:r>
      <w:r w:rsidR="00874E44">
        <w:rPr>
          <w:rFonts w:ascii="Calibri" w:hAnsi="Calibri" w:cs="Calibri"/>
          <w:color w:val="1F4E79" w:themeColor="accent1" w:themeShade="80"/>
          <w:sz w:val="22"/>
          <w:szCs w:val="22"/>
        </w:rPr>
        <w:t xml:space="preserve">θα αυξηθεί κατά 5 ευρώ, ενώ του </w:t>
      </w:r>
      <w:r w:rsidR="00874E44">
        <w:rPr>
          <w:rFonts w:ascii="Calibri" w:hAnsi="Calibri" w:cs="Calibri"/>
          <w:color w:val="1F4E79" w:themeColor="accent1" w:themeShade="80"/>
          <w:sz w:val="22"/>
          <w:szCs w:val="22"/>
          <w:lang w:val="en-US"/>
        </w:rPr>
        <w:t>Floor</w:t>
      </w:r>
      <w:r w:rsidR="00874E44" w:rsidRPr="00874E44">
        <w:rPr>
          <w:rFonts w:ascii="Calibri" w:hAnsi="Calibri" w:cs="Calibri"/>
          <w:color w:val="1F4E79" w:themeColor="accent1" w:themeShade="80"/>
          <w:sz w:val="22"/>
          <w:szCs w:val="22"/>
        </w:rPr>
        <w:t xml:space="preserve"> </w:t>
      </w:r>
      <w:r w:rsidR="00874E44">
        <w:rPr>
          <w:rFonts w:ascii="Calibri" w:hAnsi="Calibri" w:cs="Calibri"/>
          <w:color w:val="1F4E79" w:themeColor="accent1" w:themeShade="80"/>
          <w:sz w:val="22"/>
          <w:szCs w:val="22"/>
          <w:lang w:val="en-US"/>
        </w:rPr>
        <w:t>Box</w:t>
      </w:r>
      <w:r w:rsidR="00874E44">
        <w:rPr>
          <w:rFonts w:ascii="Calibri" w:hAnsi="Calibri" w:cs="Calibri"/>
          <w:color w:val="1F4E79" w:themeColor="accent1" w:themeShade="80"/>
          <w:sz w:val="22"/>
          <w:szCs w:val="22"/>
        </w:rPr>
        <w:t xml:space="preserve"> κατά 10 ευρώ. </w:t>
      </w:r>
      <w:r>
        <w:rPr>
          <w:rFonts w:ascii="Calibri" w:hAnsi="Calibri" w:cs="Calibri"/>
          <w:color w:val="1F4E79" w:themeColor="accent1" w:themeShade="80"/>
          <w:sz w:val="22"/>
          <w:szCs w:val="22"/>
        </w:rPr>
        <w:t>Η εν λόγω τροποποίηση θα αποτυπωθεί στην τελική έκδοση του μοντέλου.</w:t>
      </w:r>
    </w:p>
    <w:p w14:paraId="038EFEFB" w14:textId="2FEAE06D" w:rsidR="0066490C" w:rsidRDefault="0066490C" w:rsidP="00CF67A0">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Αναφορικά με τα σχόλια συμμετεχόντων για τα κόστη και το χρόνο ζωής των αποσβέσεων των </w:t>
      </w:r>
      <w:r>
        <w:rPr>
          <w:rFonts w:ascii="Calibri" w:hAnsi="Calibri" w:cs="Calibri"/>
          <w:color w:val="1F4E79" w:themeColor="accent1" w:themeShade="80"/>
          <w:sz w:val="22"/>
          <w:szCs w:val="22"/>
          <w:lang w:val="en-US"/>
        </w:rPr>
        <w:t>floor</w:t>
      </w:r>
      <w:r w:rsidRPr="0066490C">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box</w:t>
      </w:r>
      <w:r>
        <w:rPr>
          <w:rFonts w:ascii="Calibri" w:hAnsi="Calibri" w:cs="Calibri"/>
          <w:color w:val="1F4E79" w:themeColor="accent1" w:themeShade="80"/>
          <w:sz w:val="22"/>
          <w:szCs w:val="22"/>
        </w:rPr>
        <w:t xml:space="preserve">, η ΕΕΤΤ κρίνει ότι έχουν ληφθεί υπόψη λεπτομερώς όλα τα σχετικά </w:t>
      </w:r>
      <w:r w:rsidR="00CE4B1A">
        <w:rPr>
          <w:rFonts w:ascii="Calibri" w:hAnsi="Calibri" w:cs="Calibri"/>
          <w:color w:val="1F4E79" w:themeColor="accent1" w:themeShade="80"/>
          <w:sz w:val="22"/>
          <w:szCs w:val="22"/>
        </w:rPr>
        <w:t xml:space="preserve">λειτουργικά </w:t>
      </w:r>
      <w:r>
        <w:rPr>
          <w:rFonts w:ascii="Calibri" w:hAnsi="Calibri" w:cs="Calibri"/>
          <w:color w:val="1F4E79" w:themeColor="accent1" w:themeShade="80"/>
          <w:sz w:val="22"/>
          <w:szCs w:val="22"/>
        </w:rPr>
        <w:t>κόστη αποτυπώνοντας όλα τα σενάρια κατασκευής μέσω της διάκρισης σε κατηγορίες. Η μείωση του κόστους συντήρησης και της αύξησης του χρόνου ζωής προέκυψε από τα διαθέσιμα στοιχεία και τις προδιαγραφές του παθητικού εξοπλισμού</w:t>
      </w:r>
      <w:r w:rsidR="00FD55B1">
        <w:rPr>
          <w:rFonts w:ascii="Calibri" w:hAnsi="Calibri" w:cs="Calibri"/>
          <w:color w:val="1F4E79" w:themeColor="accent1" w:themeShade="80"/>
          <w:sz w:val="22"/>
          <w:szCs w:val="22"/>
        </w:rPr>
        <w:t xml:space="preserve"> των</w:t>
      </w:r>
      <w:r>
        <w:rPr>
          <w:rFonts w:ascii="Calibri" w:hAnsi="Calibri" w:cs="Calibri"/>
          <w:color w:val="1F4E79" w:themeColor="accent1" w:themeShade="80"/>
          <w:sz w:val="22"/>
          <w:szCs w:val="22"/>
        </w:rPr>
        <w:t xml:space="preserve"> υλοποιήσε</w:t>
      </w:r>
      <w:r w:rsidR="00FD55B1">
        <w:rPr>
          <w:rFonts w:ascii="Calibri" w:hAnsi="Calibri" w:cs="Calibri"/>
          <w:color w:val="1F4E79" w:themeColor="accent1" w:themeShade="80"/>
          <w:sz w:val="22"/>
          <w:szCs w:val="22"/>
        </w:rPr>
        <w:t>ων</w:t>
      </w:r>
      <w:r>
        <w:rPr>
          <w:rFonts w:ascii="Calibri" w:hAnsi="Calibri" w:cs="Calibri"/>
          <w:color w:val="1F4E79" w:themeColor="accent1" w:themeShade="80"/>
          <w:sz w:val="22"/>
          <w:szCs w:val="22"/>
        </w:rPr>
        <w:t xml:space="preserve"> που έχουν πραγματοποιηθεί έως σήμερα, </w:t>
      </w:r>
      <w:r w:rsidR="00CE4B1A">
        <w:rPr>
          <w:rFonts w:ascii="Calibri" w:hAnsi="Calibri" w:cs="Calibri"/>
          <w:color w:val="1F4E79" w:themeColor="accent1" w:themeShade="80"/>
          <w:sz w:val="22"/>
          <w:szCs w:val="22"/>
        </w:rPr>
        <w:t xml:space="preserve">σύμφωνα και με τις υπόλοιπες παραδοχές για τα λειτουργικά κόστη και χρόνο ζωής των υπόλοιπων παθητικών δικτυακών στοιχείων. </w:t>
      </w:r>
    </w:p>
    <w:p w14:paraId="3C405205" w14:textId="2F0E2BF8" w:rsidR="00CE4B1A" w:rsidRPr="0066490C" w:rsidRDefault="00CE4B1A" w:rsidP="00CF67A0">
      <w:pPr>
        <w:pStyle w:val="ab"/>
        <w:spacing w:before="141" w:line="259" w:lineRule="auto"/>
        <w:ind w:right="133"/>
        <w:rPr>
          <w:rFonts w:ascii="Calibri" w:hAnsi="Calibri" w:cs="Calibri"/>
          <w:sz w:val="22"/>
          <w:szCs w:val="22"/>
        </w:rPr>
      </w:pPr>
      <w:r>
        <w:rPr>
          <w:rFonts w:ascii="Calibri" w:hAnsi="Calibri" w:cs="Calibri"/>
          <w:color w:val="1F4E79" w:themeColor="accent1" w:themeShade="80"/>
          <w:sz w:val="22"/>
          <w:szCs w:val="22"/>
        </w:rPr>
        <w:t xml:space="preserve">Τέλος, η ΕΕΤΤ </w:t>
      </w:r>
      <w:r w:rsidR="002F7B80">
        <w:rPr>
          <w:rFonts w:ascii="Calibri" w:hAnsi="Calibri" w:cs="Calibri"/>
          <w:color w:val="1F4E79" w:themeColor="accent1" w:themeShade="80"/>
          <w:sz w:val="22"/>
          <w:szCs w:val="22"/>
        </w:rPr>
        <w:t xml:space="preserve">θεωρεί ότι δεν τίθεται θέμα ανάκτησης του κόστους του </w:t>
      </w:r>
      <w:r w:rsidR="002F7B80">
        <w:rPr>
          <w:rFonts w:ascii="Calibri" w:hAnsi="Calibri" w:cs="Calibri"/>
          <w:color w:val="1F4E79" w:themeColor="accent1" w:themeShade="80"/>
          <w:sz w:val="22"/>
          <w:szCs w:val="22"/>
          <w:lang w:val="en-US"/>
        </w:rPr>
        <w:t>Floor</w:t>
      </w:r>
      <w:r w:rsidR="002F7B80" w:rsidRPr="002F7B80">
        <w:rPr>
          <w:rFonts w:ascii="Calibri" w:hAnsi="Calibri" w:cs="Calibri"/>
          <w:color w:val="1F4E79" w:themeColor="accent1" w:themeShade="80"/>
          <w:sz w:val="22"/>
          <w:szCs w:val="22"/>
        </w:rPr>
        <w:t xml:space="preserve"> </w:t>
      </w:r>
      <w:r w:rsidR="002F7B80">
        <w:rPr>
          <w:rFonts w:ascii="Calibri" w:hAnsi="Calibri" w:cs="Calibri"/>
          <w:color w:val="1F4E79" w:themeColor="accent1" w:themeShade="80"/>
          <w:sz w:val="22"/>
          <w:szCs w:val="22"/>
          <w:lang w:val="en-US"/>
        </w:rPr>
        <w:t>Box</w:t>
      </w:r>
      <w:r w:rsidR="002F7B80" w:rsidRPr="002F7B80">
        <w:rPr>
          <w:rFonts w:ascii="Calibri" w:hAnsi="Calibri" w:cs="Calibri"/>
          <w:color w:val="1F4E79" w:themeColor="accent1" w:themeShade="80"/>
          <w:sz w:val="22"/>
          <w:szCs w:val="22"/>
        </w:rPr>
        <w:t xml:space="preserve"> </w:t>
      </w:r>
      <w:r w:rsidR="002F7B80">
        <w:rPr>
          <w:rFonts w:ascii="Calibri" w:hAnsi="Calibri" w:cs="Calibri"/>
          <w:color w:val="1F4E79" w:themeColor="accent1" w:themeShade="80"/>
          <w:sz w:val="22"/>
          <w:szCs w:val="22"/>
        </w:rPr>
        <w:t>μετά την αλλαγή στο χρόνο ζωής, δεδομένων τόσο του πλήθους των έως τώρα εγκαταστάσεων όσο και του φυσικού χρόνου ζωής του εν λόγω εξοπλισμού.</w:t>
      </w:r>
    </w:p>
    <w:p w14:paraId="23E2D0B1" w14:textId="4F6CD10B" w:rsidR="00065121" w:rsidRDefault="00065121" w:rsidP="00C81C4E">
      <w:pPr>
        <w:pStyle w:val="ab"/>
        <w:spacing w:before="143" w:line="259" w:lineRule="auto"/>
        <w:ind w:right="136"/>
        <w:rPr>
          <w:rFonts w:ascii="Calibri" w:hAnsi="Calibri" w:cs="Calibri"/>
          <w:sz w:val="22"/>
          <w:szCs w:val="22"/>
        </w:rPr>
      </w:pPr>
    </w:p>
    <w:p w14:paraId="72150F73" w14:textId="0EB9C1EB" w:rsidR="002C406D" w:rsidRPr="00B77652" w:rsidRDefault="002C406D" w:rsidP="00392B3A">
      <w:pPr>
        <w:pStyle w:val="2"/>
        <w:keepNext w:val="0"/>
        <w:widowControl w:val="0"/>
        <w:numPr>
          <w:ilvl w:val="1"/>
          <w:numId w:val="6"/>
        </w:numPr>
        <w:tabs>
          <w:tab w:val="left" w:pos="720"/>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rPr>
        <w:t>Υλοποιούμενο σενάριο Δικτύου Χαλκού</w:t>
      </w:r>
    </w:p>
    <w:p w14:paraId="06715DA0" w14:textId="0AE40BBC" w:rsidR="002C406D" w:rsidRDefault="002C406D" w:rsidP="00065121">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αναφέρει </w:t>
      </w:r>
      <w:r w:rsidRPr="00063071">
        <w:rPr>
          <w:rFonts w:ascii="Calibri" w:hAnsi="Calibri" w:cs="Calibri"/>
          <w:sz w:val="22"/>
          <w:szCs w:val="22"/>
        </w:rPr>
        <w:t xml:space="preserve">ότι </w:t>
      </w:r>
      <w:r w:rsidR="001332AC">
        <w:rPr>
          <w:rFonts w:ascii="Calibri" w:hAnsi="Calibri" w:cs="Calibri"/>
          <w:sz w:val="22"/>
          <w:szCs w:val="22"/>
        </w:rPr>
        <w:t>η</w:t>
      </w:r>
      <w:r w:rsidRPr="002C406D">
        <w:rPr>
          <w:rFonts w:ascii="Calibri" w:hAnsi="Calibri" w:cs="Calibri"/>
          <w:sz w:val="22"/>
          <w:szCs w:val="22"/>
        </w:rPr>
        <w:t xml:space="preserve"> ΕΕΤΤ </w:t>
      </w:r>
      <w:r w:rsidR="001332AC">
        <w:rPr>
          <w:rFonts w:ascii="Calibri" w:hAnsi="Calibri" w:cs="Calibri"/>
          <w:sz w:val="22"/>
          <w:szCs w:val="22"/>
        </w:rPr>
        <w:t xml:space="preserve">αναπτύσσει </w:t>
      </w:r>
      <w:r w:rsidRPr="002C406D">
        <w:rPr>
          <w:rFonts w:ascii="Calibri" w:hAnsi="Calibri" w:cs="Calibri"/>
          <w:sz w:val="22"/>
          <w:szCs w:val="22"/>
        </w:rPr>
        <w:t xml:space="preserve">δύο </w:t>
      </w:r>
      <w:r w:rsidR="001332AC">
        <w:rPr>
          <w:rFonts w:ascii="Calibri" w:hAnsi="Calibri" w:cs="Calibri"/>
          <w:sz w:val="22"/>
          <w:szCs w:val="22"/>
        </w:rPr>
        <w:t xml:space="preserve">παράλληλα δίκτυα </w:t>
      </w:r>
      <w:r w:rsidRPr="002C406D">
        <w:rPr>
          <w:rFonts w:ascii="Calibri" w:hAnsi="Calibri" w:cs="Calibri"/>
          <w:sz w:val="22"/>
          <w:szCs w:val="22"/>
        </w:rPr>
        <w:t>ένα για τα δίκτυα VHCN (FTTH) και ένα για τα non-VHCN (χαλκού/FTTC)</w:t>
      </w:r>
      <w:r w:rsidR="001332AC">
        <w:rPr>
          <w:rFonts w:ascii="Calibri" w:hAnsi="Calibri" w:cs="Calibri"/>
          <w:sz w:val="22"/>
          <w:szCs w:val="22"/>
        </w:rPr>
        <w:t xml:space="preserve">, σε αντίθεση με αυτά που ορίζει η </w:t>
      </w:r>
      <w:r w:rsidRPr="002C406D">
        <w:rPr>
          <w:rFonts w:ascii="Calibri" w:hAnsi="Calibri" w:cs="Calibri"/>
          <w:sz w:val="22"/>
          <w:szCs w:val="22"/>
        </w:rPr>
        <w:t xml:space="preserve">Σύσταση της ΕΕ </w:t>
      </w:r>
      <w:r w:rsidR="001332AC">
        <w:rPr>
          <w:rFonts w:ascii="Calibri" w:hAnsi="Calibri" w:cs="Calibri"/>
          <w:sz w:val="22"/>
          <w:szCs w:val="22"/>
        </w:rPr>
        <w:t xml:space="preserve">για </w:t>
      </w:r>
      <w:r w:rsidRPr="002C406D">
        <w:rPr>
          <w:rFonts w:ascii="Calibri" w:hAnsi="Calibri" w:cs="Calibri"/>
          <w:sz w:val="22"/>
          <w:szCs w:val="22"/>
        </w:rPr>
        <w:t>ενιαίο μοντέλο αποδοτικού παρόχου που να βασίζεται στο δίκτυο οπτικών ινών. Επισημαίνει επίσης ότι, στη μοντελοποίηση του non-VHCN, η ΕΕΤΤ διαφοροποιεί τη γεωγραφική κάλυψη των δικτύων χαλκού και FTTC, με αποτέλεσμα να υπολογίζεται το κόστος χαλκού μόνο σε περιορισμένες περιοχές</w:t>
      </w:r>
      <w:r w:rsidR="001332AC">
        <w:rPr>
          <w:rFonts w:ascii="Calibri" w:hAnsi="Calibri" w:cs="Calibri"/>
          <w:sz w:val="22"/>
          <w:szCs w:val="22"/>
        </w:rPr>
        <w:t xml:space="preserve"> (περιοχές που υπάρχουν μόνο καμπίνες χαλκού)</w:t>
      </w:r>
      <w:r w:rsidRPr="002C406D">
        <w:rPr>
          <w:rFonts w:ascii="Calibri" w:hAnsi="Calibri" w:cs="Calibri"/>
          <w:sz w:val="22"/>
          <w:szCs w:val="22"/>
        </w:rPr>
        <w:t xml:space="preserve">. </w:t>
      </w:r>
      <w:r w:rsidR="001332AC">
        <w:rPr>
          <w:rFonts w:ascii="Calibri" w:hAnsi="Calibri" w:cs="Calibri"/>
          <w:sz w:val="22"/>
          <w:szCs w:val="22"/>
        </w:rPr>
        <w:t>Η</w:t>
      </w:r>
      <w:r w:rsidRPr="002C406D">
        <w:rPr>
          <w:rFonts w:ascii="Calibri" w:hAnsi="Calibri" w:cs="Calibri"/>
          <w:sz w:val="22"/>
          <w:szCs w:val="22"/>
        </w:rPr>
        <w:t xml:space="preserve"> προσέγγιση </w:t>
      </w:r>
      <w:r w:rsidR="001332AC">
        <w:rPr>
          <w:rFonts w:ascii="Calibri" w:hAnsi="Calibri" w:cs="Calibri"/>
          <w:sz w:val="22"/>
          <w:szCs w:val="22"/>
        </w:rPr>
        <w:t xml:space="preserve">αυτή </w:t>
      </w:r>
      <w:r w:rsidRPr="002C406D">
        <w:rPr>
          <w:rFonts w:ascii="Calibri" w:hAnsi="Calibri" w:cs="Calibri"/>
          <w:sz w:val="22"/>
          <w:szCs w:val="22"/>
        </w:rPr>
        <w:t>παραβλέπει την πραγματική λειτουργία και τις υποχρεώσεις LLU που εξακολουθούν να ισχύουν στις περιοχές</w:t>
      </w:r>
      <w:r w:rsidR="001332AC">
        <w:rPr>
          <w:rFonts w:ascii="Calibri" w:hAnsi="Calibri" w:cs="Calibri"/>
          <w:sz w:val="22"/>
          <w:szCs w:val="22"/>
        </w:rPr>
        <w:t xml:space="preserve"> ανάθεσης</w:t>
      </w:r>
      <w:r w:rsidRPr="002C406D">
        <w:rPr>
          <w:rFonts w:ascii="Calibri" w:hAnsi="Calibri" w:cs="Calibri"/>
          <w:sz w:val="22"/>
          <w:szCs w:val="22"/>
        </w:rPr>
        <w:t xml:space="preserve"> FTTC, όπου το δίκτυο χαλκού παραμένει ενεργό και απαιτεί συντήρηση</w:t>
      </w:r>
      <w:r w:rsidR="001332AC" w:rsidRPr="001332AC">
        <w:rPr>
          <w:rFonts w:ascii="Calibri" w:hAnsi="Calibri" w:cs="Calibri"/>
          <w:sz w:val="22"/>
          <w:szCs w:val="22"/>
        </w:rPr>
        <w:t xml:space="preserve">, </w:t>
      </w:r>
      <w:r w:rsidR="001332AC">
        <w:rPr>
          <w:rFonts w:ascii="Calibri" w:hAnsi="Calibri" w:cs="Calibri"/>
          <w:sz w:val="22"/>
          <w:szCs w:val="22"/>
        </w:rPr>
        <w:t>οπότε και θα πρέπει να μοντελοποιηθούν και αυτές οι περιοχές στο δίκτυο χαλκού</w:t>
      </w:r>
      <w:r w:rsidRPr="002C406D">
        <w:rPr>
          <w:rFonts w:ascii="Calibri" w:hAnsi="Calibri" w:cs="Calibri"/>
          <w:sz w:val="22"/>
          <w:szCs w:val="22"/>
        </w:rPr>
        <w:t>.</w:t>
      </w:r>
    </w:p>
    <w:p w14:paraId="525D7685" w14:textId="03F9CC1B" w:rsidR="001332AC" w:rsidRDefault="001332AC" w:rsidP="00065121">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διαφωνεί με  </w:t>
      </w:r>
      <w:r w:rsidRPr="001332AC">
        <w:rPr>
          <w:rFonts w:ascii="Calibri" w:hAnsi="Calibri" w:cs="Calibri"/>
          <w:sz w:val="22"/>
          <w:szCs w:val="22"/>
        </w:rPr>
        <w:t>τη διαφοροποίηση που προκύπτει στο μοντέλο της ΕΕΤΤ για την υπηρεσία SLU, όπου υπολογίζονται δύο διαφορετικές τιμές — μία για περιοχές Copper και μία για περιοχές FTTC</w:t>
      </w:r>
      <w:r>
        <w:rPr>
          <w:rFonts w:ascii="Calibri" w:hAnsi="Calibri" w:cs="Calibri"/>
          <w:sz w:val="22"/>
          <w:szCs w:val="22"/>
        </w:rPr>
        <w:t>,</w:t>
      </w:r>
      <w:r w:rsidRPr="001332AC">
        <w:rPr>
          <w:rFonts w:ascii="Calibri" w:hAnsi="Calibri" w:cs="Calibri"/>
          <w:sz w:val="22"/>
          <w:szCs w:val="22"/>
        </w:rPr>
        <w:t xml:space="preserve"> </w:t>
      </w:r>
      <w:r>
        <w:rPr>
          <w:rFonts w:ascii="Calibri" w:hAnsi="Calibri" w:cs="Calibri"/>
          <w:sz w:val="22"/>
          <w:szCs w:val="22"/>
        </w:rPr>
        <w:t xml:space="preserve">και υποστηρίζει την ανάγκη </w:t>
      </w:r>
      <w:r w:rsidRPr="001332AC">
        <w:rPr>
          <w:rFonts w:ascii="Calibri" w:hAnsi="Calibri" w:cs="Calibri"/>
          <w:sz w:val="22"/>
          <w:szCs w:val="22"/>
        </w:rPr>
        <w:t xml:space="preserve">αναθεώρηση της μεθοδολογίας ώστε να προκύπτει μία </w:t>
      </w:r>
      <w:r w:rsidR="0076423B">
        <w:rPr>
          <w:rFonts w:ascii="Calibri" w:hAnsi="Calibri" w:cs="Calibri"/>
          <w:sz w:val="22"/>
          <w:szCs w:val="22"/>
        </w:rPr>
        <w:t xml:space="preserve">ενιαία </w:t>
      </w:r>
      <w:r w:rsidRPr="001332AC">
        <w:rPr>
          <w:rFonts w:ascii="Calibri" w:hAnsi="Calibri" w:cs="Calibri"/>
          <w:sz w:val="22"/>
          <w:szCs w:val="22"/>
        </w:rPr>
        <w:t xml:space="preserve">εθνική τιμή SLU. Παράλληλα, επισημαίνει ότι στο μοντέλο η ΕΕΤΤ θεωρεί την ύπαρξη τόσο καμπίνας χαλκού (KV) όσο και καμπίνας FTTC σε κάθε σημείο, με κόστος </w:t>
      </w:r>
      <w:r w:rsidR="002F0007" w:rsidRPr="002F0007">
        <w:rPr>
          <w:rFonts w:ascii="Calibri" w:hAnsi="Calibri" w:cs="Calibri"/>
          <w:sz w:val="22"/>
          <w:szCs w:val="22"/>
        </w:rPr>
        <w:t>(----)</w:t>
      </w:r>
      <w:r w:rsidRPr="002F0007">
        <w:rPr>
          <w:rFonts w:ascii="Calibri" w:hAnsi="Calibri" w:cs="Calibri"/>
          <w:sz w:val="22"/>
          <w:szCs w:val="22"/>
        </w:rPr>
        <w:t xml:space="preserve"> και </w:t>
      </w:r>
      <w:r w:rsidR="002F0007" w:rsidRPr="002F0007">
        <w:rPr>
          <w:rFonts w:ascii="Calibri" w:hAnsi="Calibri" w:cs="Calibri"/>
          <w:sz w:val="22"/>
          <w:szCs w:val="22"/>
        </w:rPr>
        <w:t>(----)</w:t>
      </w:r>
      <w:r w:rsidRPr="001332AC">
        <w:rPr>
          <w:rFonts w:ascii="Calibri" w:hAnsi="Calibri" w:cs="Calibri"/>
          <w:sz w:val="22"/>
          <w:szCs w:val="22"/>
        </w:rPr>
        <w:t xml:space="preserve">αντίστοιχα, ενώ στην πράξη η εγκατάσταση μιας καμπίνας FTTC στη θέση υπάρχουσας KV κοστίζει περίπου </w:t>
      </w:r>
      <w:r w:rsidR="002F0007" w:rsidRPr="003C28FC">
        <w:rPr>
          <w:rFonts w:ascii="Calibri" w:hAnsi="Calibri" w:cs="Calibri"/>
          <w:sz w:val="22"/>
          <w:szCs w:val="22"/>
        </w:rPr>
        <w:t>(----)</w:t>
      </w:r>
      <w:r w:rsidR="002F0007" w:rsidRPr="002F0007">
        <w:rPr>
          <w:rFonts w:ascii="Calibri" w:hAnsi="Calibri" w:cs="Calibri"/>
          <w:sz w:val="22"/>
          <w:szCs w:val="22"/>
        </w:rPr>
        <w:t xml:space="preserve"> </w:t>
      </w:r>
      <w:r w:rsidRPr="001332AC">
        <w:rPr>
          <w:rFonts w:ascii="Calibri" w:hAnsi="Calibri" w:cs="Calibri"/>
          <w:sz w:val="22"/>
          <w:szCs w:val="22"/>
        </w:rPr>
        <w:t xml:space="preserve">χωρίς να συνυπολογίζει το κόστος του συνδετικού καλωδίου </w:t>
      </w:r>
      <w:r w:rsidR="002F0007" w:rsidRPr="003C28FC">
        <w:rPr>
          <w:rFonts w:ascii="Calibri" w:hAnsi="Calibri" w:cs="Calibri"/>
          <w:sz w:val="22"/>
          <w:szCs w:val="22"/>
        </w:rPr>
        <w:t>(----)</w:t>
      </w:r>
      <w:r w:rsidRPr="001332AC">
        <w:rPr>
          <w:rFonts w:ascii="Calibri" w:hAnsi="Calibri" w:cs="Calibri"/>
          <w:sz w:val="22"/>
          <w:szCs w:val="22"/>
        </w:rPr>
        <w:t>, το οποίο θα έπρεπε να περιλαμβάνεται για πλήρη αποτύπωση του κόστους.</w:t>
      </w:r>
    </w:p>
    <w:p w14:paraId="7107FEC7" w14:textId="4D198F09" w:rsidR="005D54CC" w:rsidRDefault="005D54CC" w:rsidP="005D54CC">
      <w:pPr>
        <w:pStyle w:val="ab"/>
        <w:spacing w:before="143" w:line="259" w:lineRule="auto"/>
        <w:ind w:right="136"/>
        <w:rPr>
          <w:rFonts w:ascii="Calibri" w:hAnsi="Calibri" w:cs="Calibri"/>
          <w:sz w:val="22"/>
          <w:szCs w:val="22"/>
        </w:rPr>
      </w:pPr>
      <w:r w:rsidRPr="005D54CC">
        <w:rPr>
          <w:rFonts w:ascii="Calibri" w:hAnsi="Calibri" w:cs="Calibri"/>
          <w:sz w:val="22"/>
          <w:szCs w:val="22"/>
        </w:rPr>
        <w:t xml:space="preserve">Ένας συμμετέχων </w:t>
      </w:r>
      <w:r w:rsidR="003C28FC">
        <w:rPr>
          <w:rFonts w:ascii="Calibri" w:hAnsi="Calibri" w:cs="Calibri"/>
          <w:sz w:val="22"/>
          <w:szCs w:val="22"/>
        </w:rPr>
        <w:t>(----)</w:t>
      </w:r>
      <w:r w:rsidRPr="005D54CC">
        <w:rPr>
          <w:rFonts w:ascii="Calibri" w:hAnsi="Calibri" w:cs="Calibri"/>
          <w:sz w:val="22"/>
          <w:szCs w:val="22"/>
        </w:rPr>
        <w:t xml:space="preserve"> σημειώνει ότι η αύξηση των τιμών των υπηρεσιών χαλκού (LLU/ FTTC) επιβαρύνει δυσανάλογα τους καταναλωτές και τους εναλλακτικούς παρόχους, δυσχεραίνει τη μετάβαση σε δίκτυα νέας γενιάς δεν είναι σύμφωνη με τους σχετικούς ευρωπαϊκούς κανονισμούς.</w:t>
      </w:r>
    </w:p>
    <w:p w14:paraId="21173ED6" w14:textId="26722F30" w:rsidR="00C57AB0" w:rsidRPr="00C60354" w:rsidRDefault="00C57AB0" w:rsidP="00C60354">
      <w:pPr>
        <w:pStyle w:val="ab"/>
        <w:spacing w:before="143" w:line="259" w:lineRule="auto"/>
        <w:ind w:right="136"/>
        <w:rPr>
          <w:rFonts w:ascii="Calibri" w:hAnsi="Calibri" w:cs="Calibri"/>
          <w:i/>
          <w:sz w:val="22"/>
          <w:szCs w:val="22"/>
        </w:rPr>
      </w:pPr>
      <w:r w:rsidRPr="00C57AB0">
        <w:rPr>
          <w:rFonts w:ascii="Calibri" w:hAnsi="Calibri" w:cs="Calibri"/>
          <w:sz w:val="22"/>
          <w:szCs w:val="22"/>
        </w:rPr>
        <w:t xml:space="preserve">Ένας συμμετέχων </w:t>
      </w:r>
      <w:r w:rsidR="003C28FC">
        <w:rPr>
          <w:rFonts w:ascii="Calibri" w:hAnsi="Calibri" w:cs="Calibri"/>
          <w:sz w:val="22"/>
          <w:szCs w:val="22"/>
        </w:rPr>
        <w:t>(----)</w:t>
      </w:r>
      <w:r w:rsidRPr="00C57AB0">
        <w:rPr>
          <w:rFonts w:ascii="Calibri" w:hAnsi="Calibri" w:cs="Calibri"/>
          <w:sz w:val="22"/>
          <w:szCs w:val="22"/>
        </w:rPr>
        <w:t xml:space="preserve"> διαφωνεί με την προτεινόμενη μοντελοποίηση των δικτύων υποδομών (σενάριο non - VHCN μεταξύ δικτύων παραδοσιακού χαλκού και FΤTC όσο και </w:t>
      </w:r>
      <w:r w:rsidRPr="00C57AB0">
        <w:rPr>
          <w:rFonts w:ascii="Calibri" w:hAnsi="Calibri" w:cs="Calibri"/>
          <w:sz w:val="22"/>
          <w:szCs w:val="22"/>
        </w:rPr>
        <w:lastRenderedPageBreak/>
        <w:t>σενάριο VHCN μεταξύ FTTC και FTTH) και παραθέτει τα ακόλουθα προβληματικά σημεία</w:t>
      </w:r>
      <w:r w:rsidR="00C60354">
        <w:rPr>
          <w:rFonts w:ascii="Calibri" w:hAnsi="Calibri" w:cs="Calibri"/>
          <w:sz w:val="22"/>
          <w:szCs w:val="22"/>
        </w:rPr>
        <w:t xml:space="preserve"> για το </w:t>
      </w:r>
      <w:r w:rsidR="00C60354" w:rsidRPr="00C57AB0">
        <w:rPr>
          <w:rFonts w:ascii="Calibri" w:hAnsi="Calibri" w:cs="Calibri"/>
          <w:sz w:val="22"/>
          <w:szCs w:val="22"/>
        </w:rPr>
        <w:t>non - VHCN</w:t>
      </w:r>
      <w:r w:rsidRPr="00C60354">
        <w:rPr>
          <w:rFonts w:ascii="Calibri" w:hAnsi="Calibri" w:cs="Calibri"/>
          <w:i/>
          <w:sz w:val="22"/>
          <w:szCs w:val="22"/>
        </w:rPr>
        <w:t>:</w:t>
      </w:r>
    </w:p>
    <w:p w14:paraId="13D267D8" w14:textId="0D286CBF" w:rsidR="00C57AB0" w:rsidRPr="00C60354" w:rsidRDefault="00C57AB0" w:rsidP="00392B3A">
      <w:pPr>
        <w:pStyle w:val="ab"/>
        <w:numPr>
          <w:ilvl w:val="0"/>
          <w:numId w:val="7"/>
        </w:numPr>
        <w:spacing w:before="143" w:line="259" w:lineRule="auto"/>
        <w:ind w:right="136"/>
        <w:rPr>
          <w:rFonts w:ascii="Calibri" w:hAnsi="Calibri" w:cs="Calibri"/>
          <w:sz w:val="22"/>
          <w:szCs w:val="22"/>
        </w:rPr>
      </w:pPr>
      <w:r w:rsidRPr="00C60354">
        <w:rPr>
          <w:rFonts w:ascii="Calibri" w:hAnsi="Calibri" w:cs="Calibri"/>
          <w:sz w:val="22"/>
          <w:szCs w:val="22"/>
        </w:rPr>
        <w:t xml:space="preserve">Υπερεκτίμηση του αριθμού και συνεπώς και του κόστους των MSAN/DSLAM, και παράλληλα </w:t>
      </w:r>
      <w:proofErr w:type="spellStart"/>
      <w:r w:rsidRPr="00C60354">
        <w:rPr>
          <w:rFonts w:ascii="Calibri" w:hAnsi="Calibri" w:cs="Calibri"/>
          <w:sz w:val="22"/>
          <w:szCs w:val="22"/>
        </w:rPr>
        <w:t>υποαξιοποίηση</w:t>
      </w:r>
      <w:proofErr w:type="spellEnd"/>
      <w:r w:rsidRPr="00C60354">
        <w:rPr>
          <w:rFonts w:ascii="Calibri" w:hAnsi="Calibri" w:cs="Calibri"/>
          <w:sz w:val="22"/>
          <w:szCs w:val="22"/>
        </w:rPr>
        <w:t xml:space="preserve"> των θυρών/συνδέσμων</w:t>
      </w:r>
      <w:r w:rsidR="00C60354">
        <w:rPr>
          <w:rFonts w:ascii="Calibri" w:hAnsi="Calibri" w:cs="Calibri"/>
          <w:sz w:val="22"/>
          <w:szCs w:val="22"/>
        </w:rPr>
        <w:t>.</w:t>
      </w:r>
    </w:p>
    <w:p w14:paraId="09E6839E" w14:textId="77777777" w:rsidR="00C57AB0" w:rsidRPr="00C60354" w:rsidRDefault="00C57AB0" w:rsidP="00392B3A">
      <w:pPr>
        <w:pStyle w:val="ab"/>
        <w:numPr>
          <w:ilvl w:val="0"/>
          <w:numId w:val="7"/>
        </w:numPr>
        <w:spacing w:before="143" w:line="259" w:lineRule="auto"/>
        <w:ind w:right="136"/>
        <w:rPr>
          <w:rFonts w:ascii="Calibri" w:hAnsi="Calibri" w:cs="Calibri"/>
          <w:sz w:val="22"/>
          <w:szCs w:val="22"/>
        </w:rPr>
      </w:pPr>
      <w:r w:rsidRPr="00C60354">
        <w:rPr>
          <w:rFonts w:ascii="Calibri" w:hAnsi="Calibri" w:cs="Calibri"/>
          <w:sz w:val="22"/>
          <w:szCs w:val="22"/>
        </w:rPr>
        <w:t>Στο λειτουργικό κόστος του εναέριου δικτύου χαλκού έχει περιληφθεί και η αντικατάσταση των κατεστραμμένων στύλων, ενώ επιπρόσθετα υπολογίζεται και ένα ποσοστό στύλων που χρήζουν αντικατάστασης ετησίως (2%), γεγονός που υποδεικνύει εις διπλούν υπολογισμό του κόστους αντικατάστασης. Επίσης, δεδομένου του βαθμού επαναχρησιμοποίησης των στύλων που υποθέτει το μοντέλο, ένα ποσοστό της τάξεως του 40% ως νέες επενδύσεις σε στύλους φαίνεται ασυνεπές με την παραπάνω παραδοχή.</w:t>
      </w:r>
    </w:p>
    <w:p w14:paraId="6B53F613" w14:textId="2C934FEB" w:rsidR="00C57AB0" w:rsidRDefault="00C57AB0" w:rsidP="00392B3A">
      <w:pPr>
        <w:pStyle w:val="ab"/>
        <w:numPr>
          <w:ilvl w:val="0"/>
          <w:numId w:val="7"/>
        </w:numPr>
        <w:spacing w:before="143" w:line="259" w:lineRule="auto"/>
        <w:ind w:right="136"/>
        <w:rPr>
          <w:rFonts w:ascii="Calibri" w:hAnsi="Calibri" w:cs="Calibri"/>
          <w:sz w:val="22"/>
          <w:szCs w:val="22"/>
        </w:rPr>
      </w:pPr>
      <w:r w:rsidRPr="00C60354">
        <w:rPr>
          <w:rFonts w:ascii="Calibri" w:hAnsi="Calibri" w:cs="Calibri"/>
          <w:sz w:val="22"/>
          <w:szCs w:val="22"/>
        </w:rPr>
        <w:t xml:space="preserve">Κατά τον υπολογισμό του OPEX εφαρμόζεται ο ίδιος συντελεστής επί του CAPEX για το Copper </w:t>
      </w:r>
      <w:proofErr w:type="spellStart"/>
      <w:r w:rsidRPr="00C60354">
        <w:rPr>
          <w:rFonts w:ascii="Calibri" w:hAnsi="Calibri" w:cs="Calibri"/>
          <w:sz w:val="22"/>
          <w:szCs w:val="22"/>
        </w:rPr>
        <w:t>Feeder</w:t>
      </w:r>
      <w:proofErr w:type="spellEnd"/>
      <w:r w:rsidRPr="00C60354">
        <w:rPr>
          <w:rFonts w:ascii="Calibri" w:hAnsi="Calibri" w:cs="Calibri"/>
          <w:sz w:val="22"/>
          <w:szCs w:val="22"/>
        </w:rPr>
        <w:t xml:space="preserve"> και για το FTTC </w:t>
      </w:r>
      <w:proofErr w:type="spellStart"/>
      <w:r w:rsidRPr="00C60354">
        <w:rPr>
          <w:rFonts w:ascii="Calibri" w:hAnsi="Calibri" w:cs="Calibri"/>
          <w:sz w:val="22"/>
          <w:szCs w:val="22"/>
        </w:rPr>
        <w:t>Feeder</w:t>
      </w:r>
      <w:proofErr w:type="spellEnd"/>
      <w:r w:rsidRPr="00C60354">
        <w:rPr>
          <w:rFonts w:ascii="Calibri" w:hAnsi="Calibri" w:cs="Calibri"/>
          <w:sz w:val="22"/>
          <w:szCs w:val="22"/>
        </w:rPr>
        <w:t>. Επειδή, ωστόσο, το CAPEX του ενός διαφέρει σε σχέση με το CAPEX του άλλου (40 εκατ. έναντι 20 εκατ.), αυτό έχει ως αποτέλεσμα το ποσό του OPEX για τα δύο στοιχεία να διαφέρει τελικά, χωρίς αυτό να μπορεί να δικαιολογηθεί.</w:t>
      </w:r>
    </w:p>
    <w:p w14:paraId="4C52C83A" w14:textId="2B560009" w:rsidR="007B6FC8" w:rsidRPr="007B6FC8" w:rsidRDefault="007B6FC8" w:rsidP="007B6FC8">
      <w:pPr>
        <w:pStyle w:val="ab"/>
        <w:spacing w:before="143"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sidRPr="007B6FC8">
        <w:rPr>
          <w:rFonts w:ascii="Calibri" w:hAnsi="Calibri" w:cs="Calibri"/>
          <w:sz w:val="22"/>
          <w:szCs w:val="22"/>
        </w:rPr>
        <w:t xml:space="preserve"> </w:t>
      </w:r>
      <w:r>
        <w:rPr>
          <w:rFonts w:ascii="Calibri" w:hAnsi="Calibri" w:cs="Calibri"/>
          <w:sz w:val="22"/>
          <w:szCs w:val="22"/>
        </w:rPr>
        <w:t xml:space="preserve">επισημαίνει ενδεχόμενο σφάλμα στην αναθεώρηση των τάσεων του κόστους για το δίκτυο χαλκού, </w:t>
      </w:r>
      <w:r w:rsidR="00AD6953">
        <w:rPr>
          <w:rFonts w:ascii="Calibri" w:hAnsi="Calibri" w:cs="Calibri"/>
          <w:sz w:val="22"/>
          <w:szCs w:val="22"/>
        </w:rPr>
        <w:t xml:space="preserve">καθώς </w:t>
      </w:r>
      <w:r w:rsidRPr="007B6FC8">
        <w:rPr>
          <w:rFonts w:ascii="Calibri" w:hAnsi="Calibri" w:cs="Calibri"/>
          <w:sz w:val="22"/>
          <w:szCs w:val="22"/>
        </w:rPr>
        <w:t>για δύο στοιχεία παγίου, το «Copper» (κελί CAPEX_Evolution!F16) και το «</w:t>
      </w:r>
      <w:proofErr w:type="spellStart"/>
      <w:r w:rsidRPr="007B6FC8">
        <w:rPr>
          <w:rFonts w:ascii="Calibri" w:hAnsi="Calibri" w:cs="Calibri"/>
          <w:sz w:val="22"/>
          <w:szCs w:val="22"/>
        </w:rPr>
        <w:t>Customer</w:t>
      </w:r>
      <w:proofErr w:type="spellEnd"/>
      <w:r w:rsidRPr="007B6FC8">
        <w:rPr>
          <w:rFonts w:ascii="Calibri" w:hAnsi="Calibri" w:cs="Calibri"/>
          <w:sz w:val="22"/>
          <w:szCs w:val="22"/>
        </w:rPr>
        <w:t xml:space="preserve"> </w:t>
      </w:r>
      <w:proofErr w:type="spellStart"/>
      <w:r w:rsidRPr="007B6FC8">
        <w:rPr>
          <w:rFonts w:ascii="Calibri" w:hAnsi="Calibri" w:cs="Calibri"/>
          <w:sz w:val="22"/>
          <w:szCs w:val="22"/>
        </w:rPr>
        <w:t>Side</w:t>
      </w:r>
      <w:proofErr w:type="spellEnd"/>
      <w:r w:rsidRPr="007B6FC8">
        <w:rPr>
          <w:rFonts w:ascii="Calibri" w:hAnsi="Calibri" w:cs="Calibri"/>
          <w:sz w:val="22"/>
          <w:szCs w:val="22"/>
        </w:rPr>
        <w:t xml:space="preserve"> </w:t>
      </w:r>
      <w:proofErr w:type="spellStart"/>
      <w:r w:rsidRPr="007B6FC8">
        <w:rPr>
          <w:rFonts w:ascii="Calibri" w:hAnsi="Calibri" w:cs="Calibri"/>
          <w:sz w:val="22"/>
          <w:szCs w:val="22"/>
        </w:rPr>
        <w:t>Active</w:t>
      </w:r>
      <w:proofErr w:type="spellEnd"/>
      <w:r w:rsidRPr="007B6FC8">
        <w:rPr>
          <w:rFonts w:ascii="Calibri" w:hAnsi="Calibri" w:cs="Calibri"/>
          <w:sz w:val="22"/>
          <w:szCs w:val="22"/>
        </w:rPr>
        <w:t xml:space="preserve"> </w:t>
      </w:r>
      <w:proofErr w:type="spellStart"/>
      <w:r w:rsidRPr="007B6FC8">
        <w:rPr>
          <w:rFonts w:ascii="Calibri" w:hAnsi="Calibri" w:cs="Calibri"/>
          <w:sz w:val="22"/>
          <w:szCs w:val="22"/>
        </w:rPr>
        <w:t>Equipment</w:t>
      </w:r>
      <w:proofErr w:type="spellEnd"/>
      <w:r w:rsidRPr="007B6FC8">
        <w:rPr>
          <w:rFonts w:ascii="Calibri" w:hAnsi="Calibri" w:cs="Calibri"/>
          <w:sz w:val="22"/>
          <w:szCs w:val="22"/>
        </w:rPr>
        <w:t xml:space="preserve"> Copper» (κελί CAPEX_Evolution!F21), οι τιμές </w:t>
      </w:r>
      <w:r w:rsidR="00AD6953">
        <w:rPr>
          <w:rFonts w:ascii="Calibri" w:hAnsi="Calibri" w:cs="Calibri"/>
          <w:sz w:val="22"/>
          <w:szCs w:val="22"/>
        </w:rPr>
        <w:t>τάσης</w:t>
      </w:r>
      <w:r w:rsidRPr="007B6FC8">
        <w:rPr>
          <w:rFonts w:ascii="Calibri" w:hAnsi="Calibri" w:cs="Calibri"/>
          <w:sz w:val="22"/>
          <w:szCs w:val="22"/>
        </w:rPr>
        <w:t xml:space="preserve"> κόστους και για τα δύο στοιχεία παγίου είχαν υπολογιστεί στο +1%, ενώ </w:t>
      </w:r>
      <w:r w:rsidR="00AD6953" w:rsidRPr="007B6FC8">
        <w:rPr>
          <w:rFonts w:ascii="Calibri" w:hAnsi="Calibri" w:cs="Calibri"/>
          <w:sz w:val="22"/>
          <w:szCs w:val="22"/>
        </w:rPr>
        <w:t xml:space="preserve">στο αρχείο του υπό διαβούλευση μοντέλου </w:t>
      </w:r>
      <w:r w:rsidRPr="007B6FC8">
        <w:rPr>
          <w:rFonts w:ascii="Calibri" w:hAnsi="Calibri" w:cs="Calibri"/>
          <w:sz w:val="22"/>
          <w:szCs w:val="22"/>
        </w:rPr>
        <w:t>αποτελούν τα μόνα στοιχεία παγίου για τα οποία οι εν λόγω τάσεις επικαιροποιήθηκαν (στο +2%).</w:t>
      </w:r>
    </w:p>
    <w:p w14:paraId="23D15F4D"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3241D757" w14:textId="6FE7EDB3"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F13D99">
        <w:rPr>
          <w:rFonts w:ascii="Calibri" w:hAnsi="Calibri" w:cs="Calibri"/>
          <w:b/>
          <w:color w:val="1F4E79" w:themeColor="accent1" w:themeShade="80"/>
          <w:sz w:val="22"/>
          <w:szCs w:val="22"/>
          <w:u w:val="single"/>
        </w:rPr>
        <w:t>12</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2A6DAB56" w14:textId="0D3DD4CF" w:rsidR="007B6FC8" w:rsidRPr="00FA7690" w:rsidRDefault="00F13D99" w:rsidP="007B6FC8">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Αναφορικά με τ</w:t>
      </w:r>
      <w:r>
        <w:rPr>
          <w:rFonts w:ascii="Calibri" w:hAnsi="Calibri" w:cs="Calibri"/>
          <w:color w:val="1F4E79" w:themeColor="accent1" w:themeShade="80"/>
          <w:sz w:val="22"/>
          <w:szCs w:val="22"/>
          <w:lang w:val="en-US"/>
        </w:rPr>
        <w:t>o</w:t>
      </w:r>
      <w:r w:rsidRPr="00F13D99">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σχόλιο ενός εκ των συμμετεχόντων για την επαλληλία των δικτύων χαλκού και </w:t>
      </w:r>
      <w:r>
        <w:rPr>
          <w:rFonts w:ascii="Calibri" w:hAnsi="Calibri" w:cs="Calibri"/>
          <w:color w:val="1F4E79" w:themeColor="accent1" w:themeShade="80"/>
          <w:sz w:val="22"/>
          <w:szCs w:val="22"/>
          <w:lang w:val="en-US"/>
        </w:rPr>
        <w:t>FTTC</w:t>
      </w:r>
      <w:r w:rsidRPr="00F13D99">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η ΕΕΤΤ δεν θεωρεί εύλογη την πρόταση του συμμετέχοντα. Στο πλαίσιο της αποδοτικότητας και της μελλοντοστρεφούς προσέγγισης, το μοντέλο αποτυπώνει τα κόστη του αποδοτικού παρόχου περιορίζοντας όσο είναι εφικτό και εύλογο τις υλοποιήσεις που δεν είναι αποδοτικές. </w:t>
      </w:r>
      <w:r w:rsidR="00EE3BC2">
        <w:rPr>
          <w:rFonts w:ascii="Calibri" w:hAnsi="Calibri" w:cs="Calibri"/>
          <w:color w:val="1F4E79" w:themeColor="accent1" w:themeShade="80"/>
          <w:sz w:val="22"/>
          <w:szCs w:val="22"/>
        </w:rPr>
        <w:t>Επιπλέον, σημειώνεται ότι έχουν ήδη ληφθεί υπόψη στο μοντέλο όλα τα κόστη που αναφέρει ο συμμετέχων σχετικά με τη διασύνδεση των καμπινών.</w:t>
      </w:r>
    </w:p>
    <w:p w14:paraId="072629D4" w14:textId="7EB2A606" w:rsidR="001A0BFF" w:rsidRDefault="001A0BFF" w:rsidP="007B6FC8">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Σχετικά με το </w:t>
      </w:r>
      <w:r w:rsidR="001F4DF9">
        <w:rPr>
          <w:rFonts w:ascii="Calibri" w:hAnsi="Calibri" w:cs="Calibri"/>
          <w:color w:val="1F4E79" w:themeColor="accent1" w:themeShade="80"/>
          <w:sz w:val="22"/>
          <w:szCs w:val="22"/>
        </w:rPr>
        <w:t xml:space="preserve">πλήθος των </w:t>
      </w:r>
      <w:r w:rsidR="001F4DF9">
        <w:rPr>
          <w:rFonts w:ascii="Calibri" w:hAnsi="Calibri" w:cs="Calibri"/>
          <w:color w:val="1F4E79" w:themeColor="accent1" w:themeShade="80"/>
          <w:sz w:val="22"/>
          <w:szCs w:val="22"/>
          <w:lang w:val="en-US"/>
        </w:rPr>
        <w:t>DSLAM</w:t>
      </w:r>
      <w:r w:rsidR="001F4DF9" w:rsidRPr="001F4DF9">
        <w:rPr>
          <w:rFonts w:ascii="Calibri" w:hAnsi="Calibri" w:cs="Calibri"/>
          <w:color w:val="1F4E79" w:themeColor="accent1" w:themeShade="80"/>
          <w:sz w:val="22"/>
          <w:szCs w:val="22"/>
        </w:rPr>
        <w:t xml:space="preserve">, </w:t>
      </w:r>
      <w:r w:rsidR="001F4DF9">
        <w:rPr>
          <w:rFonts w:ascii="Calibri" w:hAnsi="Calibri" w:cs="Calibri"/>
          <w:color w:val="1F4E79" w:themeColor="accent1" w:themeShade="80"/>
          <w:sz w:val="22"/>
          <w:szCs w:val="22"/>
        </w:rPr>
        <w:t xml:space="preserve">η πρόταση ενός συμμετέχοντα κρίνεται ως μη ρεαλιστική τεχνικά και θα οδηγούσε σε μη ρεαλιστικό πλήθος </w:t>
      </w:r>
      <w:r w:rsidR="001F4DF9">
        <w:rPr>
          <w:rFonts w:ascii="Calibri" w:hAnsi="Calibri" w:cs="Calibri"/>
          <w:color w:val="1F4E79" w:themeColor="accent1" w:themeShade="80"/>
          <w:sz w:val="22"/>
          <w:szCs w:val="22"/>
          <w:lang w:val="en-US"/>
        </w:rPr>
        <w:t>DSLAM</w:t>
      </w:r>
      <w:r w:rsidR="001F4DF9" w:rsidRPr="001F4DF9">
        <w:rPr>
          <w:rFonts w:ascii="Calibri" w:hAnsi="Calibri" w:cs="Calibri"/>
          <w:color w:val="1F4E79" w:themeColor="accent1" w:themeShade="80"/>
          <w:sz w:val="22"/>
          <w:szCs w:val="22"/>
        </w:rPr>
        <w:t xml:space="preserve">. </w:t>
      </w:r>
      <w:r w:rsidR="001F4DF9">
        <w:rPr>
          <w:rFonts w:ascii="Calibri" w:hAnsi="Calibri" w:cs="Calibri"/>
          <w:color w:val="1F4E79" w:themeColor="accent1" w:themeShade="80"/>
          <w:sz w:val="22"/>
          <w:szCs w:val="22"/>
        </w:rPr>
        <w:t xml:space="preserve">Επίσης, η εφαρμογή του ποσοστού </w:t>
      </w:r>
      <w:r w:rsidR="001F4DF9">
        <w:rPr>
          <w:rFonts w:ascii="Calibri" w:hAnsi="Calibri" w:cs="Calibri"/>
          <w:color w:val="1F4E79" w:themeColor="accent1" w:themeShade="80"/>
          <w:sz w:val="22"/>
          <w:szCs w:val="22"/>
          <w:lang w:val="en-US"/>
        </w:rPr>
        <w:t>OPEX</w:t>
      </w:r>
      <w:r w:rsidR="001F4DF9" w:rsidRPr="001F4DF9">
        <w:rPr>
          <w:rFonts w:ascii="Calibri" w:hAnsi="Calibri" w:cs="Calibri"/>
          <w:color w:val="1F4E79" w:themeColor="accent1" w:themeShade="80"/>
          <w:sz w:val="22"/>
          <w:szCs w:val="22"/>
        </w:rPr>
        <w:t xml:space="preserve"> </w:t>
      </w:r>
      <w:r w:rsidR="001F4DF9">
        <w:rPr>
          <w:rFonts w:ascii="Calibri" w:hAnsi="Calibri" w:cs="Calibri"/>
          <w:color w:val="1F4E79" w:themeColor="accent1" w:themeShade="80"/>
          <w:sz w:val="22"/>
          <w:szCs w:val="22"/>
        </w:rPr>
        <w:t xml:space="preserve">επί του </w:t>
      </w:r>
      <w:r w:rsidR="001F4DF9">
        <w:rPr>
          <w:rFonts w:ascii="Calibri" w:hAnsi="Calibri" w:cs="Calibri"/>
          <w:color w:val="1F4E79" w:themeColor="accent1" w:themeShade="80"/>
          <w:sz w:val="22"/>
          <w:szCs w:val="22"/>
          <w:lang w:val="en-US"/>
        </w:rPr>
        <w:t>CAPEX</w:t>
      </w:r>
      <w:r w:rsidR="001F4DF9" w:rsidRPr="001F4DF9">
        <w:rPr>
          <w:rFonts w:ascii="Calibri" w:hAnsi="Calibri" w:cs="Calibri"/>
          <w:color w:val="1F4E79" w:themeColor="accent1" w:themeShade="80"/>
          <w:sz w:val="22"/>
          <w:szCs w:val="22"/>
        </w:rPr>
        <w:t xml:space="preserve"> </w:t>
      </w:r>
      <w:r w:rsidR="001F4DF9">
        <w:rPr>
          <w:rFonts w:ascii="Calibri" w:hAnsi="Calibri" w:cs="Calibri"/>
          <w:color w:val="1F4E79" w:themeColor="accent1" w:themeShade="80"/>
          <w:sz w:val="22"/>
          <w:szCs w:val="22"/>
        </w:rPr>
        <w:t>είναι σύμφωνα με τη συνήθη πρακτική και μεθοδολογία που εφαρμόζεται και σε άλλα μοντέλα διεθνώς. Ως εκ τούτου, η ΕΕΤΤ εμμένει στην θέση της για την εφαρμογή της μεθοδολογίας όπως αποτυπώνεται στο κείμενο Αρχών και εφαρμόζεται στο μοντέλο.</w:t>
      </w:r>
    </w:p>
    <w:p w14:paraId="64255089" w14:textId="25ABA129" w:rsidR="00773618" w:rsidRDefault="00773618" w:rsidP="007B6FC8">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Ωστόσο, λαμβάνοντας υπόψη την παρατήρηση του συμμετέχοντα για το </w:t>
      </w:r>
      <w:r>
        <w:rPr>
          <w:rFonts w:ascii="Calibri" w:hAnsi="Calibri" w:cs="Calibri"/>
          <w:color w:val="1F4E79" w:themeColor="accent1" w:themeShade="80"/>
          <w:sz w:val="22"/>
          <w:szCs w:val="22"/>
          <w:lang w:val="en-US"/>
        </w:rPr>
        <w:t>OPEX</w:t>
      </w:r>
      <w:r w:rsidRPr="00773618">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και την επανεπένδυση του εναερίου δικτύου χαλκού και έπειτα από επανεξέταση των διαθέσιμων στοιχείων, η ΕΕΤΤ θα προχωρήσει σε μείωση του ποσοστού των επανεπενδύσεων του εναερίου δικτύου</w:t>
      </w:r>
      <w:r w:rsidR="000263A2">
        <w:rPr>
          <w:rFonts w:ascii="Calibri" w:hAnsi="Calibri" w:cs="Calibri"/>
          <w:color w:val="1F4E79" w:themeColor="accent1" w:themeShade="80"/>
          <w:sz w:val="22"/>
          <w:szCs w:val="22"/>
        </w:rPr>
        <w:t xml:space="preserve"> από 2% σε 1% δεδομένου και του μελλοντικού παροπλισμού του δικτύου χαλκού.</w:t>
      </w:r>
      <w:r>
        <w:rPr>
          <w:rFonts w:ascii="Calibri" w:hAnsi="Calibri" w:cs="Calibri"/>
          <w:color w:val="1F4E79" w:themeColor="accent1" w:themeShade="80"/>
          <w:sz w:val="22"/>
          <w:szCs w:val="22"/>
        </w:rPr>
        <w:t>.</w:t>
      </w:r>
    </w:p>
    <w:p w14:paraId="5459F9F8" w14:textId="4452610F" w:rsidR="00EE3BC2" w:rsidRPr="00773618" w:rsidRDefault="00773618" w:rsidP="007B6FC8">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lastRenderedPageBreak/>
        <w:t xml:space="preserve">Τέλος, επισημαίνεται ότι οι τάσεις κόστους που αναφέρει ένας συμμετέχων είναι ορθές και έχουν διαμορφωθεί σύμφωνα με τα ιστορικά και νεότερα στοιχεία για την τάση κόστους των </w:t>
      </w:r>
      <w:r w:rsidR="00D521C3">
        <w:rPr>
          <w:rFonts w:ascii="Calibri" w:hAnsi="Calibri" w:cs="Calibri"/>
          <w:color w:val="1F4E79" w:themeColor="accent1" w:themeShade="80"/>
          <w:sz w:val="22"/>
          <w:szCs w:val="22"/>
        </w:rPr>
        <w:t>παγίων</w:t>
      </w:r>
      <w:r>
        <w:rPr>
          <w:rFonts w:ascii="Calibri" w:hAnsi="Calibri" w:cs="Calibri"/>
          <w:color w:val="1F4E79" w:themeColor="accent1" w:themeShade="80"/>
          <w:sz w:val="22"/>
          <w:szCs w:val="22"/>
        </w:rPr>
        <w:t xml:space="preserve"> χαλκού</w:t>
      </w:r>
      <w:r w:rsidR="00485D8F">
        <w:rPr>
          <w:rFonts w:ascii="Calibri" w:hAnsi="Calibri" w:cs="Calibri"/>
          <w:color w:val="1F4E79" w:themeColor="accent1" w:themeShade="80"/>
          <w:sz w:val="22"/>
          <w:szCs w:val="22"/>
        </w:rPr>
        <w:t>.</w:t>
      </w:r>
    </w:p>
    <w:p w14:paraId="5AC25267" w14:textId="77777777" w:rsidR="00EE3BC2" w:rsidRPr="00F13D99" w:rsidRDefault="00EE3BC2" w:rsidP="007B6FC8">
      <w:pPr>
        <w:pStyle w:val="ab"/>
        <w:spacing w:before="143" w:line="259" w:lineRule="auto"/>
        <w:ind w:right="136"/>
        <w:rPr>
          <w:rFonts w:ascii="Calibri" w:hAnsi="Calibri" w:cs="Calibri"/>
          <w:sz w:val="22"/>
          <w:szCs w:val="22"/>
        </w:rPr>
      </w:pPr>
    </w:p>
    <w:p w14:paraId="0F142127" w14:textId="77777777" w:rsidR="00C57AB0" w:rsidRPr="00466BC4" w:rsidRDefault="00C57AB0" w:rsidP="00C57AB0">
      <w:pPr>
        <w:pStyle w:val="Default"/>
        <w:ind w:left="720"/>
        <w:rPr>
          <w:rFonts w:asciiTheme="minorHAnsi" w:hAnsiTheme="minorHAnsi" w:cstheme="minorHAnsi"/>
          <w:sz w:val="22"/>
          <w:szCs w:val="22"/>
        </w:rPr>
      </w:pPr>
    </w:p>
    <w:p w14:paraId="0A6EB19D" w14:textId="773ECDA4" w:rsidR="007E4DD9" w:rsidRPr="002C406D" w:rsidRDefault="007E4DD9" w:rsidP="00392B3A">
      <w:pPr>
        <w:pStyle w:val="2"/>
        <w:keepNext w:val="0"/>
        <w:widowControl w:val="0"/>
        <w:numPr>
          <w:ilvl w:val="1"/>
          <w:numId w:val="6"/>
        </w:numPr>
        <w:tabs>
          <w:tab w:val="left" w:pos="720"/>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rPr>
        <w:t xml:space="preserve">Κόστος </w:t>
      </w:r>
      <w:r w:rsidR="00434B1A">
        <w:rPr>
          <w:rFonts w:ascii="Calibri" w:hAnsi="Calibri" w:cs="Calibri"/>
          <w:b w:val="0"/>
          <w:color w:val="2E5395"/>
          <w:sz w:val="22"/>
          <w:szCs w:val="22"/>
          <w:lang w:val="en-US"/>
        </w:rPr>
        <w:t>CAPEX &amp; OPEX</w:t>
      </w:r>
    </w:p>
    <w:p w14:paraId="62C62365" w14:textId="4E65DA7B" w:rsidR="00B2504A" w:rsidRDefault="007E4DD9" w:rsidP="00065121">
      <w:pPr>
        <w:pStyle w:val="ab"/>
        <w:spacing w:before="143" w:line="259" w:lineRule="auto"/>
        <w:ind w:right="136"/>
        <w:rPr>
          <w:rFonts w:ascii="Calibri" w:hAnsi="Calibri" w:cs="Calibri"/>
          <w:sz w:val="22"/>
          <w:szCs w:val="22"/>
        </w:rPr>
      </w:pPr>
      <w:r>
        <w:rPr>
          <w:rFonts w:ascii="Calibri" w:hAnsi="Calibri" w:cs="Calibri"/>
          <w:sz w:val="22"/>
          <w:szCs w:val="22"/>
        </w:rPr>
        <w:t xml:space="preserve">Ένας πάροχος </w:t>
      </w:r>
      <w:r w:rsidR="003C28FC">
        <w:rPr>
          <w:rFonts w:ascii="Calibri" w:hAnsi="Calibri" w:cs="Calibri"/>
          <w:sz w:val="22"/>
          <w:szCs w:val="22"/>
        </w:rPr>
        <w:t>(----)</w:t>
      </w:r>
      <w:r>
        <w:rPr>
          <w:rFonts w:ascii="Calibri" w:hAnsi="Calibri" w:cs="Calibri"/>
          <w:sz w:val="22"/>
          <w:szCs w:val="22"/>
        </w:rPr>
        <w:t xml:space="preserve"> </w:t>
      </w:r>
      <w:r w:rsidR="00B2504A">
        <w:rPr>
          <w:rFonts w:ascii="Calibri" w:hAnsi="Calibri" w:cs="Calibri"/>
          <w:sz w:val="22"/>
          <w:szCs w:val="22"/>
        </w:rPr>
        <w:t xml:space="preserve">σημειώνει ότι παρά </w:t>
      </w:r>
      <w:r w:rsidR="00B2504A" w:rsidRPr="00B2504A">
        <w:rPr>
          <w:rFonts w:ascii="Calibri" w:hAnsi="Calibri" w:cs="Calibri"/>
          <w:sz w:val="22"/>
          <w:szCs w:val="22"/>
        </w:rPr>
        <w:t>την αύξηση κατά 50% της τιμής χαλκού μεταξύ 2019 και 2025, αυτή δεν αντικατοπτρίζεται σωστά στις τιμές του νέου μοντέλου</w:t>
      </w:r>
      <w:r w:rsidR="00B2504A">
        <w:rPr>
          <w:rFonts w:ascii="Calibri" w:hAnsi="Calibri" w:cs="Calibri"/>
          <w:sz w:val="22"/>
          <w:szCs w:val="22"/>
        </w:rPr>
        <w:t>. Συγκεκριμένα αναφέρει ότι το</w:t>
      </w:r>
      <w:r w:rsidR="00065121">
        <w:rPr>
          <w:rFonts w:ascii="Calibri" w:hAnsi="Calibri" w:cs="Calibri"/>
          <w:sz w:val="22"/>
          <w:szCs w:val="22"/>
        </w:rPr>
        <w:t xml:space="preserve"> πραγματικό</w:t>
      </w:r>
      <w:r w:rsidR="00B2504A">
        <w:rPr>
          <w:rFonts w:ascii="Calibri" w:hAnsi="Calibri" w:cs="Calibri"/>
          <w:sz w:val="22"/>
          <w:szCs w:val="22"/>
        </w:rPr>
        <w:t xml:space="preserve"> κόστος αγοράς </w:t>
      </w:r>
      <w:r w:rsidR="00B2504A" w:rsidRPr="00B2504A">
        <w:rPr>
          <w:rFonts w:ascii="Calibri" w:hAnsi="Calibri" w:cs="Calibri"/>
          <w:sz w:val="22"/>
          <w:szCs w:val="22"/>
        </w:rPr>
        <w:t xml:space="preserve">μεγάλων </w:t>
      </w:r>
      <w:r w:rsidR="00B2504A">
        <w:rPr>
          <w:rFonts w:ascii="Calibri" w:hAnsi="Calibri" w:cs="Calibri"/>
          <w:sz w:val="22"/>
          <w:szCs w:val="22"/>
        </w:rPr>
        <w:t xml:space="preserve">χάλκινων </w:t>
      </w:r>
      <w:r w:rsidR="00B2504A" w:rsidRPr="00B2504A">
        <w:rPr>
          <w:rFonts w:ascii="Calibri" w:hAnsi="Calibri" w:cs="Calibri"/>
          <w:sz w:val="22"/>
          <w:szCs w:val="22"/>
        </w:rPr>
        <w:t xml:space="preserve">καλωδίων είναι περίπου 20% υψηλότερο από τις προβλέψεις </w:t>
      </w:r>
      <w:r w:rsidR="00B2504A">
        <w:rPr>
          <w:rFonts w:ascii="Calibri" w:hAnsi="Calibri" w:cs="Calibri"/>
          <w:sz w:val="22"/>
          <w:szCs w:val="22"/>
        </w:rPr>
        <w:t>του μοντέλου</w:t>
      </w:r>
      <w:r w:rsidR="00B2504A" w:rsidRPr="00B2504A">
        <w:rPr>
          <w:rFonts w:ascii="Calibri" w:hAnsi="Calibri" w:cs="Calibri"/>
          <w:sz w:val="22"/>
          <w:szCs w:val="22"/>
        </w:rPr>
        <w:t>, χωρίς να περιλαμβάνονται εργασίες εγκατάστασης και άλλα σχετικά κόστη. Αντίστοιχα, οι τιμές οπτικών ινών 2 και 4 ινών είναι υψηλότερες από τις προβλέψεις</w:t>
      </w:r>
      <w:r w:rsidR="00B2504A">
        <w:rPr>
          <w:rFonts w:ascii="Calibri" w:hAnsi="Calibri" w:cs="Calibri"/>
          <w:sz w:val="22"/>
          <w:szCs w:val="22"/>
        </w:rPr>
        <w:t xml:space="preserve"> του μοντέλου</w:t>
      </w:r>
      <w:r w:rsidR="00B2504A" w:rsidRPr="00B2504A">
        <w:rPr>
          <w:rFonts w:ascii="Calibri" w:hAnsi="Calibri" w:cs="Calibri"/>
          <w:sz w:val="22"/>
          <w:szCs w:val="22"/>
        </w:rPr>
        <w:t xml:space="preserve">, χωρίς να λαμβάνονται υπόψη επιπλέον κόστη εγκατάστασης και επίβλεψης. Επιπλέον, η χωρητικότητα OLT είναι 16 καρτών και όχι 17 όπως προβλέπει το μοντέλο. </w:t>
      </w:r>
    </w:p>
    <w:p w14:paraId="419D3FC3" w14:textId="73C0D07C" w:rsidR="00434B1A" w:rsidRDefault="00434B1A" w:rsidP="00434B1A">
      <w:pPr>
        <w:pStyle w:val="ab"/>
        <w:spacing w:before="143" w:line="259" w:lineRule="auto"/>
        <w:ind w:right="136"/>
        <w:rPr>
          <w:rFonts w:ascii="Calibri" w:hAnsi="Calibri" w:cs="Calibri"/>
          <w:sz w:val="22"/>
          <w:szCs w:val="22"/>
        </w:rPr>
      </w:pPr>
      <w:r w:rsidRPr="00434B1A">
        <w:rPr>
          <w:rFonts w:ascii="Calibri" w:hAnsi="Calibri" w:cs="Calibri"/>
          <w:sz w:val="22"/>
          <w:szCs w:val="22"/>
        </w:rPr>
        <w:t xml:space="preserve">Ένας συμμετέχων </w:t>
      </w:r>
      <w:r w:rsidR="003C28FC">
        <w:rPr>
          <w:rFonts w:ascii="Calibri" w:hAnsi="Calibri" w:cs="Calibri"/>
          <w:sz w:val="22"/>
          <w:szCs w:val="22"/>
        </w:rPr>
        <w:t>(----)</w:t>
      </w:r>
      <w:r w:rsidRPr="00434B1A">
        <w:rPr>
          <w:rFonts w:ascii="Calibri" w:hAnsi="Calibri" w:cs="Calibri"/>
          <w:sz w:val="22"/>
          <w:szCs w:val="22"/>
        </w:rPr>
        <w:t xml:space="preserve"> επισημαίνει ότι η ΕΕΤΤ θα πρέπει να εφαρμόσει τη μεθοδολογία αντιστάθμισης πληθωρισμού που ακολούθησε για το CAPEX και στην περίπτωση υπολογισμού του OPEX.</w:t>
      </w:r>
    </w:p>
    <w:p w14:paraId="5437E8C5" w14:textId="11CED7EE" w:rsidR="000E3BF6" w:rsidRDefault="000E3BF6" w:rsidP="00434B1A">
      <w:pPr>
        <w:pStyle w:val="ab"/>
        <w:spacing w:before="143" w:line="259" w:lineRule="auto"/>
        <w:ind w:right="136"/>
        <w:rPr>
          <w:rFonts w:ascii="Calibri" w:hAnsi="Calibri" w:cs="Calibri"/>
          <w:sz w:val="22"/>
          <w:szCs w:val="22"/>
        </w:rPr>
      </w:pPr>
      <w:r w:rsidRPr="000E3BF6">
        <w:rPr>
          <w:rFonts w:ascii="Calibri" w:hAnsi="Calibri" w:cs="Calibri"/>
          <w:sz w:val="22"/>
          <w:szCs w:val="22"/>
        </w:rPr>
        <w:t xml:space="preserve">Ένας συμμετέχων </w:t>
      </w:r>
      <w:r w:rsidR="003C28FC">
        <w:rPr>
          <w:rFonts w:ascii="Calibri" w:hAnsi="Calibri" w:cs="Calibri"/>
          <w:sz w:val="22"/>
          <w:szCs w:val="22"/>
        </w:rPr>
        <w:t>(----)</w:t>
      </w:r>
      <w:r w:rsidRPr="000E3BF6">
        <w:rPr>
          <w:rFonts w:ascii="Calibri" w:hAnsi="Calibri" w:cs="Calibri"/>
          <w:sz w:val="22"/>
          <w:szCs w:val="22"/>
        </w:rPr>
        <w:t xml:space="preserve"> προτείνει η ΕΕΤΤ να υπολογίσει μεγαλύτερη διάρκεια ζωής των παθητικών δικτυακών στοιχείων του VHCN σεναρίου, λαμβάνοντας υπόψη την ανθεκτικότητα και τα σαφή πλεονεκτήματα της οπτικής ίνας έναντι του χαλκού</w:t>
      </w:r>
      <w:r>
        <w:rPr>
          <w:rFonts w:ascii="Calibri" w:hAnsi="Calibri" w:cs="Calibri"/>
          <w:sz w:val="22"/>
          <w:szCs w:val="22"/>
        </w:rPr>
        <w:t>.</w:t>
      </w:r>
    </w:p>
    <w:p w14:paraId="46C81189" w14:textId="062A7B8A" w:rsidR="008E26D2" w:rsidRDefault="008E26D2" w:rsidP="00434B1A">
      <w:pPr>
        <w:pStyle w:val="ab"/>
        <w:spacing w:before="143" w:line="259" w:lineRule="auto"/>
        <w:ind w:right="136"/>
        <w:rPr>
          <w:rFonts w:ascii="Calibri" w:hAnsi="Calibri" w:cs="Calibri"/>
          <w:sz w:val="22"/>
          <w:szCs w:val="22"/>
        </w:rPr>
      </w:pPr>
      <w:r w:rsidRPr="008E26D2">
        <w:rPr>
          <w:rFonts w:ascii="Calibri" w:hAnsi="Calibri" w:cs="Calibri"/>
          <w:sz w:val="22"/>
          <w:szCs w:val="22"/>
        </w:rPr>
        <w:t xml:space="preserve">Ένας συμμετέχων </w:t>
      </w:r>
      <w:r w:rsidR="003C28FC">
        <w:rPr>
          <w:rFonts w:ascii="Calibri" w:hAnsi="Calibri" w:cs="Calibri"/>
          <w:sz w:val="22"/>
          <w:szCs w:val="22"/>
        </w:rPr>
        <w:t>(----)</w:t>
      </w:r>
      <w:r w:rsidRPr="008E26D2">
        <w:rPr>
          <w:rFonts w:ascii="Calibri" w:hAnsi="Calibri" w:cs="Calibri"/>
          <w:sz w:val="22"/>
          <w:szCs w:val="22"/>
        </w:rPr>
        <w:t xml:space="preserve"> επισημαίνει ότι το κόστος αγοράς των υλικών που αναφέρεται στο μοντέλο για την εγκατάσταση BEP/BMO είναι κατά 10% χαμηλότερο σε σχέση με το αντίστοιχο κόστος που καταβάλλει για την προμήθεια των συγκεκριμένων υλικών. Το κόστος που έχει καταγραφεί στο αρχείο “1. NGA 2025 model </w:t>
      </w:r>
      <w:proofErr w:type="spellStart"/>
      <w:r w:rsidRPr="008E26D2">
        <w:rPr>
          <w:rFonts w:ascii="Calibri" w:hAnsi="Calibri" w:cs="Calibri"/>
          <w:sz w:val="22"/>
          <w:szCs w:val="22"/>
        </w:rPr>
        <w:t>public</w:t>
      </w:r>
      <w:proofErr w:type="spellEnd"/>
      <w:r w:rsidRPr="008E26D2">
        <w:rPr>
          <w:rFonts w:ascii="Calibri" w:hAnsi="Calibri" w:cs="Calibri"/>
          <w:sz w:val="22"/>
          <w:szCs w:val="22"/>
        </w:rPr>
        <w:t>” και συγκεκριμένα στο φύλλο «</w:t>
      </w:r>
      <w:proofErr w:type="spellStart"/>
      <w:r w:rsidRPr="008E26D2">
        <w:rPr>
          <w:rFonts w:ascii="Calibri" w:hAnsi="Calibri" w:cs="Calibri"/>
          <w:sz w:val="22"/>
          <w:szCs w:val="22"/>
        </w:rPr>
        <w:t>Network</w:t>
      </w:r>
      <w:proofErr w:type="spellEnd"/>
      <w:r w:rsidRPr="008E26D2">
        <w:rPr>
          <w:rFonts w:ascii="Calibri" w:hAnsi="Calibri" w:cs="Calibri"/>
          <w:sz w:val="22"/>
          <w:szCs w:val="22"/>
        </w:rPr>
        <w:t xml:space="preserve"> </w:t>
      </w:r>
      <w:proofErr w:type="spellStart"/>
      <w:r w:rsidRPr="008E26D2">
        <w:rPr>
          <w:rFonts w:ascii="Calibri" w:hAnsi="Calibri" w:cs="Calibri"/>
          <w:sz w:val="22"/>
          <w:szCs w:val="22"/>
        </w:rPr>
        <w:t>Elements</w:t>
      </w:r>
      <w:proofErr w:type="spellEnd"/>
      <w:r w:rsidRPr="008E26D2">
        <w:rPr>
          <w:rFonts w:ascii="Calibri" w:hAnsi="Calibri" w:cs="Calibri"/>
          <w:sz w:val="22"/>
          <w:szCs w:val="22"/>
        </w:rPr>
        <w:t xml:space="preserve">», κελί J53 και J54 πρέπει να εξεταστεί για πιθανή αναθεώρηση. Επίσης, το κόστος που καταβάλλει για την αγορά των παγίων “MSAN </w:t>
      </w:r>
      <w:proofErr w:type="spellStart"/>
      <w:r w:rsidRPr="008E26D2">
        <w:rPr>
          <w:rFonts w:ascii="Calibri" w:hAnsi="Calibri" w:cs="Calibri"/>
          <w:sz w:val="22"/>
          <w:szCs w:val="22"/>
        </w:rPr>
        <w:t>SuperVectoring</w:t>
      </w:r>
      <w:proofErr w:type="spellEnd"/>
      <w:r w:rsidRPr="008E26D2">
        <w:rPr>
          <w:rFonts w:ascii="Calibri" w:hAnsi="Calibri" w:cs="Calibri"/>
          <w:sz w:val="22"/>
          <w:szCs w:val="22"/>
        </w:rPr>
        <w:t>” και “</w:t>
      </w:r>
      <w:proofErr w:type="spellStart"/>
      <w:r w:rsidRPr="008E26D2">
        <w:rPr>
          <w:rFonts w:ascii="Calibri" w:hAnsi="Calibri" w:cs="Calibri"/>
          <w:sz w:val="22"/>
          <w:szCs w:val="22"/>
        </w:rPr>
        <w:t>SuperVectoring</w:t>
      </w:r>
      <w:proofErr w:type="spellEnd"/>
      <w:r w:rsidRPr="008E26D2">
        <w:rPr>
          <w:rFonts w:ascii="Calibri" w:hAnsi="Calibri" w:cs="Calibri"/>
          <w:sz w:val="22"/>
          <w:szCs w:val="22"/>
        </w:rPr>
        <w:t xml:space="preserve"> </w:t>
      </w:r>
      <w:proofErr w:type="spellStart"/>
      <w:r w:rsidRPr="008E26D2">
        <w:rPr>
          <w:rFonts w:ascii="Calibri" w:hAnsi="Calibri" w:cs="Calibri"/>
          <w:sz w:val="22"/>
          <w:szCs w:val="22"/>
        </w:rPr>
        <w:t>Linve</w:t>
      </w:r>
      <w:proofErr w:type="spellEnd"/>
      <w:r w:rsidRPr="008E26D2">
        <w:rPr>
          <w:rFonts w:ascii="Calibri" w:hAnsi="Calibri" w:cs="Calibri"/>
          <w:sz w:val="22"/>
          <w:szCs w:val="22"/>
        </w:rPr>
        <w:t xml:space="preserve"> </w:t>
      </w:r>
      <w:proofErr w:type="spellStart"/>
      <w:r w:rsidRPr="008E26D2">
        <w:rPr>
          <w:rFonts w:ascii="Calibri" w:hAnsi="Calibri" w:cs="Calibri"/>
          <w:sz w:val="22"/>
          <w:szCs w:val="22"/>
        </w:rPr>
        <w:t>Cards</w:t>
      </w:r>
      <w:proofErr w:type="spellEnd"/>
      <w:r w:rsidRPr="008E26D2">
        <w:rPr>
          <w:rFonts w:ascii="Calibri" w:hAnsi="Calibri" w:cs="Calibri"/>
          <w:sz w:val="22"/>
          <w:szCs w:val="22"/>
        </w:rPr>
        <w:t xml:space="preserve">” είναι αρκετά μεγαλύτερο συγκριτικά με εκείνο που αναφέρεται στο αρχείο “1. NGA 2025 model </w:t>
      </w:r>
      <w:proofErr w:type="spellStart"/>
      <w:r w:rsidRPr="008E26D2">
        <w:rPr>
          <w:rFonts w:ascii="Calibri" w:hAnsi="Calibri" w:cs="Calibri"/>
          <w:sz w:val="22"/>
          <w:szCs w:val="22"/>
        </w:rPr>
        <w:t>public</w:t>
      </w:r>
      <w:proofErr w:type="spellEnd"/>
      <w:r w:rsidRPr="008E26D2">
        <w:rPr>
          <w:rFonts w:ascii="Calibri" w:hAnsi="Calibri" w:cs="Calibri"/>
          <w:sz w:val="22"/>
          <w:szCs w:val="22"/>
        </w:rPr>
        <w:t>” και συγκεκριμένα στο φύλλο «</w:t>
      </w:r>
      <w:proofErr w:type="spellStart"/>
      <w:r w:rsidRPr="008E26D2">
        <w:rPr>
          <w:rFonts w:ascii="Calibri" w:hAnsi="Calibri" w:cs="Calibri"/>
          <w:sz w:val="22"/>
          <w:szCs w:val="22"/>
        </w:rPr>
        <w:t>Network</w:t>
      </w:r>
      <w:proofErr w:type="spellEnd"/>
      <w:r w:rsidRPr="008E26D2">
        <w:rPr>
          <w:rFonts w:ascii="Calibri" w:hAnsi="Calibri" w:cs="Calibri"/>
          <w:sz w:val="22"/>
          <w:szCs w:val="22"/>
        </w:rPr>
        <w:t xml:space="preserve"> </w:t>
      </w:r>
      <w:proofErr w:type="spellStart"/>
      <w:r w:rsidRPr="008E26D2">
        <w:rPr>
          <w:rFonts w:ascii="Calibri" w:hAnsi="Calibri" w:cs="Calibri"/>
          <w:sz w:val="22"/>
          <w:szCs w:val="22"/>
        </w:rPr>
        <w:t>Elements</w:t>
      </w:r>
      <w:proofErr w:type="spellEnd"/>
      <w:r w:rsidRPr="008E26D2">
        <w:rPr>
          <w:rFonts w:ascii="Calibri" w:hAnsi="Calibri" w:cs="Calibri"/>
          <w:sz w:val="22"/>
          <w:szCs w:val="22"/>
        </w:rPr>
        <w:t>», στο κελί J65 και J67.</w:t>
      </w:r>
    </w:p>
    <w:p w14:paraId="52A67E77" w14:textId="0FBBE610" w:rsidR="00F743A4" w:rsidRDefault="00F743A4" w:rsidP="00434B1A">
      <w:pPr>
        <w:pStyle w:val="ab"/>
        <w:spacing w:before="143" w:line="259" w:lineRule="auto"/>
        <w:ind w:right="136"/>
        <w:rPr>
          <w:rFonts w:ascii="Calibri" w:hAnsi="Calibri" w:cs="Calibri"/>
          <w:sz w:val="22"/>
          <w:szCs w:val="22"/>
        </w:rPr>
      </w:pPr>
      <w:r w:rsidRPr="008E26D2">
        <w:rPr>
          <w:rFonts w:ascii="Calibri" w:hAnsi="Calibri" w:cs="Calibri"/>
          <w:sz w:val="22"/>
          <w:szCs w:val="22"/>
        </w:rPr>
        <w:t xml:space="preserve">Ένας συμμετέχων </w:t>
      </w:r>
      <w:r w:rsidR="003C28FC">
        <w:rPr>
          <w:rFonts w:asciiTheme="minorHAnsi" w:hAnsiTheme="minorHAnsi" w:cstheme="minorHAnsi"/>
          <w:bCs/>
          <w:sz w:val="22"/>
          <w:szCs w:val="22"/>
        </w:rPr>
        <w:t>(----)</w:t>
      </w:r>
      <w:r w:rsidRPr="00CE42FB">
        <w:rPr>
          <w:rFonts w:asciiTheme="minorHAnsi" w:hAnsiTheme="minorHAnsi" w:cstheme="minorHAnsi"/>
          <w:bCs/>
          <w:sz w:val="22"/>
          <w:szCs w:val="22"/>
        </w:rPr>
        <w:t xml:space="preserve"> </w:t>
      </w:r>
      <w:r>
        <w:rPr>
          <w:rFonts w:asciiTheme="minorHAnsi" w:hAnsiTheme="minorHAnsi" w:cstheme="minorHAnsi"/>
          <w:bCs/>
          <w:sz w:val="22"/>
          <w:szCs w:val="22"/>
        </w:rPr>
        <w:t xml:space="preserve">σημειώνει ότι </w:t>
      </w:r>
      <w:r>
        <w:rPr>
          <w:rFonts w:ascii="Calibri" w:hAnsi="Calibri" w:cs="Calibri"/>
          <w:sz w:val="22"/>
          <w:szCs w:val="22"/>
        </w:rPr>
        <w:t>σ</w:t>
      </w:r>
      <w:r w:rsidRPr="00F743A4">
        <w:rPr>
          <w:rFonts w:ascii="Calibri" w:hAnsi="Calibri" w:cs="Calibri"/>
          <w:sz w:val="22"/>
          <w:szCs w:val="22"/>
        </w:rPr>
        <w:t>το υπό διαβούλευση μοντέλο γίνεται η παραδοχή για κόστη σχεδιασμού δικτύου (</w:t>
      </w:r>
      <w:proofErr w:type="spellStart"/>
      <w:r w:rsidRPr="00F743A4">
        <w:rPr>
          <w:rFonts w:ascii="Calibri" w:hAnsi="Calibri" w:cs="Calibri"/>
          <w:sz w:val="22"/>
          <w:szCs w:val="22"/>
        </w:rPr>
        <w:t>Network</w:t>
      </w:r>
      <w:proofErr w:type="spellEnd"/>
      <w:r w:rsidRPr="00F743A4">
        <w:rPr>
          <w:rFonts w:ascii="Calibri" w:hAnsi="Calibri" w:cs="Calibri"/>
          <w:sz w:val="22"/>
          <w:szCs w:val="22"/>
        </w:rPr>
        <w:t xml:space="preserve"> </w:t>
      </w:r>
      <w:proofErr w:type="spellStart"/>
      <w:r w:rsidRPr="00F743A4">
        <w:rPr>
          <w:rFonts w:ascii="Calibri" w:hAnsi="Calibri" w:cs="Calibri"/>
          <w:sz w:val="22"/>
          <w:szCs w:val="22"/>
        </w:rPr>
        <w:t>Planning</w:t>
      </w:r>
      <w:proofErr w:type="spellEnd"/>
      <w:r w:rsidRPr="00F743A4">
        <w:rPr>
          <w:rFonts w:ascii="Calibri" w:hAnsi="Calibri" w:cs="Calibri"/>
          <w:sz w:val="22"/>
          <w:szCs w:val="22"/>
        </w:rPr>
        <w:t xml:space="preserve"> (</w:t>
      </w:r>
      <w:proofErr w:type="spellStart"/>
      <w:r w:rsidRPr="00F743A4">
        <w:rPr>
          <w:rFonts w:ascii="Calibri" w:hAnsi="Calibri" w:cs="Calibri"/>
          <w:sz w:val="22"/>
          <w:szCs w:val="22"/>
        </w:rPr>
        <w:t>Survey</w:t>
      </w:r>
      <w:proofErr w:type="spellEnd"/>
      <w:r w:rsidRPr="00F743A4">
        <w:rPr>
          <w:rFonts w:ascii="Calibri" w:hAnsi="Calibri" w:cs="Calibri"/>
          <w:sz w:val="22"/>
          <w:szCs w:val="22"/>
        </w:rPr>
        <w:t xml:space="preserve">, </w:t>
      </w:r>
      <w:proofErr w:type="spellStart"/>
      <w:r w:rsidRPr="00F743A4">
        <w:rPr>
          <w:rFonts w:ascii="Calibri" w:hAnsi="Calibri" w:cs="Calibri"/>
          <w:sz w:val="22"/>
          <w:szCs w:val="22"/>
        </w:rPr>
        <w:t>Exploitation</w:t>
      </w:r>
      <w:proofErr w:type="spellEnd"/>
      <w:r w:rsidRPr="00F743A4">
        <w:rPr>
          <w:rFonts w:ascii="Calibri" w:hAnsi="Calibri" w:cs="Calibri"/>
          <w:sz w:val="22"/>
          <w:szCs w:val="22"/>
        </w:rPr>
        <w:t xml:space="preserve">, </w:t>
      </w:r>
      <w:proofErr w:type="spellStart"/>
      <w:r w:rsidRPr="00F743A4">
        <w:rPr>
          <w:rFonts w:ascii="Calibri" w:hAnsi="Calibri" w:cs="Calibri"/>
          <w:sz w:val="22"/>
          <w:szCs w:val="22"/>
        </w:rPr>
        <w:t>κλπ</w:t>
      </w:r>
      <w:proofErr w:type="spellEnd"/>
      <w:r w:rsidRPr="00F743A4">
        <w:rPr>
          <w:rFonts w:ascii="Calibri" w:hAnsi="Calibri" w:cs="Calibri"/>
          <w:sz w:val="22"/>
          <w:szCs w:val="22"/>
        </w:rPr>
        <w:t xml:space="preserve">)) με μοναδιαίο κόστος κεφαλαίου (CAPEX) που ανέρχεται στα €8,9 εκατομμύρια και μοναδιαίο λειτουργικό κόστος (ΟΡΕΧ) που ανέρχεται στα €2,5 εκατομμύρια, τα οποία προκύπτουν όταν το αρχείο του μοντέλου τρέχει τα σενάρια non-VHCN και VHCN. Δεδομένου ότι το δίκτυο FTTH το οποίο </w:t>
      </w:r>
      <w:proofErr w:type="spellStart"/>
      <w:r w:rsidRPr="00F743A4">
        <w:rPr>
          <w:rFonts w:ascii="Calibri" w:hAnsi="Calibri" w:cs="Calibri"/>
          <w:sz w:val="22"/>
          <w:szCs w:val="22"/>
        </w:rPr>
        <w:t>διαστασιοποιείται</w:t>
      </w:r>
      <w:proofErr w:type="spellEnd"/>
      <w:r w:rsidRPr="00F743A4">
        <w:rPr>
          <w:rFonts w:ascii="Calibri" w:hAnsi="Calibri" w:cs="Calibri"/>
          <w:sz w:val="22"/>
          <w:szCs w:val="22"/>
        </w:rPr>
        <w:t xml:space="preserve"> στο σενάριο VHCN περνάει από 25% λιγότερα κτήρια συγκριτικά με το δίκτυο χαλκού και FTTC στο σενάριο non-VHCN, θα ήταν αναμενόμενο τα αντίστοιχα κόστη ανάπτυξης δικτύου να είναι χαμηλότερα για το δίκτυο FTTH.</w:t>
      </w:r>
    </w:p>
    <w:p w14:paraId="2F96D800" w14:textId="77777777" w:rsidR="00924019" w:rsidRPr="0066490C" w:rsidRDefault="00924019" w:rsidP="00924019">
      <w:pPr>
        <w:pStyle w:val="Default"/>
        <w:rPr>
          <w:rFonts w:ascii="Calibri" w:hAnsi="Calibri" w:cs="Calibri"/>
          <w:b/>
          <w:color w:val="1F4E79" w:themeColor="accent1" w:themeShade="80"/>
          <w:sz w:val="22"/>
          <w:szCs w:val="22"/>
          <w:u w:val="single"/>
        </w:rPr>
      </w:pPr>
      <w:bookmarkStart w:id="5" w:name="2.10_Κόστη_συντήρησης_παθητικού_δικτύου_"/>
      <w:bookmarkStart w:id="6" w:name="2.11_Κοινά_κόστη_(Overheads)"/>
      <w:bookmarkEnd w:id="5"/>
      <w:bookmarkEnd w:id="6"/>
    </w:p>
    <w:p w14:paraId="1B1823F9" w14:textId="7987DFCD" w:rsidR="00FA7690" w:rsidRPr="00FA7690" w:rsidRDefault="00924019" w:rsidP="00FA7690">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FA7690">
        <w:rPr>
          <w:rFonts w:ascii="Calibri" w:hAnsi="Calibri" w:cs="Calibri"/>
          <w:b/>
          <w:color w:val="1F4E79" w:themeColor="accent1" w:themeShade="80"/>
          <w:sz w:val="22"/>
          <w:szCs w:val="22"/>
          <w:u w:val="single"/>
        </w:rPr>
        <w:t>13</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3B54707E" w14:textId="4FAD1EEA" w:rsidR="00FA7690" w:rsidRPr="00FA7690" w:rsidRDefault="00FA7690" w:rsidP="00FA7690">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Όπως αναφέρθηκε και σε προηγούμενη απάντηση (Α.1</w:t>
      </w:r>
      <w:r w:rsidRPr="00FA7690">
        <w:rPr>
          <w:rFonts w:ascii="Calibri" w:hAnsi="Calibri" w:cs="Calibri"/>
          <w:color w:val="1F4E79" w:themeColor="accent1" w:themeShade="80"/>
          <w:sz w:val="22"/>
          <w:szCs w:val="22"/>
        </w:rPr>
        <w:t>0</w:t>
      </w:r>
      <w:r>
        <w:rPr>
          <w:rFonts w:ascii="Calibri" w:hAnsi="Calibri" w:cs="Calibri"/>
          <w:color w:val="1F4E79" w:themeColor="accent1" w:themeShade="80"/>
          <w:sz w:val="22"/>
          <w:szCs w:val="22"/>
        </w:rPr>
        <w:t xml:space="preserve">), η ΕΕΤΤ λαμβάνοντας υπόψη τα σχόλια των συμμετεχόντων, θεωρεί εύλογη μία αύξηση στο </w:t>
      </w:r>
      <w:r>
        <w:rPr>
          <w:rFonts w:ascii="Calibri" w:hAnsi="Calibri" w:cs="Calibri"/>
          <w:color w:val="1F4E79" w:themeColor="accent1" w:themeShade="80"/>
          <w:sz w:val="22"/>
          <w:szCs w:val="22"/>
          <w:lang w:val="en-US"/>
        </w:rPr>
        <w:t>CAPEX</w:t>
      </w:r>
      <w:r w:rsidRPr="00CE4B1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των </w:t>
      </w:r>
      <w:r>
        <w:rPr>
          <w:rFonts w:ascii="Calibri" w:hAnsi="Calibri" w:cs="Calibri"/>
          <w:color w:val="1F4E79" w:themeColor="accent1" w:themeShade="80"/>
          <w:sz w:val="22"/>
          <w:szCs w:val="22"/>
          <w:lang w:val="en-US"/>
        </w:rPr>
        <w:t>BMO</w:t>
      </w:r>
      <w:r>
        <w:rPr>
          <w:rFonts w:ascii="Calibri" w:hAnsi="Calibri" w:cs="Calibri"/>
          <w:color w:val="1F4E79" w:themeColor="accent1" w:themeShade="80"/>
          <w:sz w:val="22"/>
          <w:szCs w:val="22"/>
        </w:rPr>
        <w:t xml:space="preserve"> και </w:t>
      </w:r>
      <w:r>
        <w:rPr>
          <w:rFonts w:ascii="Calibri" w:hAnsi="Calibri" w:cs="Calibri"/>
          <w:color w:val="1F4E79" w:themeColor="accent1" w:themeShade="80"/>
          <w:sz w:val="22"/>
          <w:szCs w:val="22"/>
          <w:lang w:val="en-US"/>
        </w:rPr>
        <w:t>Floor</w:t>
      </w:r>
      <w:r w:rsidRPr="00CE4B1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Box</w:t>
      </w:r>
      <w:r>
        <w:rPr>
          <w:rFonts w:ascii="Calibri" w:hAnsi="Calibri" w:cs="Calibri"/>
          <w:color w:val="1F4E79" w:themeColor="accent1" w:themeShade="80"/>
          <w:sz w:val="22"/>
          <w:szCs w:val="22"/>
        </w:rPr>
        <w:t xml:space="preserve"> της τάξης του ~</w:t>
      </w:r>
      <w:r w:rsidR="003C293A">
        <w:rPr>
          <w:rFonts w:ascii="Calibri" w:hAnsi="Calibri" w:cs="Calibri"/>
          <w:color w:val="1F4E79" w:themeColor="accent1" w:themeShade="80"/>
          <w:sz w:val="22"/>
          <w:szCs w:val="22"/>
        </w:rPr>
        <w:t>5-</w:t>
      </w:r>
      <w:r>
        <w:rPr>
          <w:rFonts w:ascii="Calibri" w:hAnsi="Calibri" w:cs="Calibri"/>
          <w:color w:val="1F4E79" w:themeColor="accent1" w:themeShade="80"/>
          <w:sz w:val="22"/>
          <w:szCs w:val="22"/>
        </w:rPr>
        <w:t>10%</w:t>
      </w:r>
      <w:r w:rsidRPr="00CE4B1A">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σύμφωνα με τις προδιαγραφές της </w:t>
      </w:r>
      <w:r>
        <w:rPr>
          <w:rFonts w:ascii="Calibri" w:hAnsi="Calibri" w:cs="Calibri"/>
          <w:color w:val="1F4E79" w:themeColor="accent1" w:themeShade="80"/>
          <w:sz w:val="22"/>
          <w:szCs w:val="22"/>
          <w:lang w:val="en-US"/>
        </w:rPr>
        <w:t>KYA</w:t>
      </w:r>
      <w:r>
        <w:rPr>
          <w:rFonts w:ascii="Calibri" w:hAnsi="Calibri" w:cs="Calibri"/>
          <w:color w:val="1F4E79" w:themeColor="accent1" w:themeShade="80"/>
          <w:sz w:val="22"/>
          <w:szCs w:val="22"/>
        </w:rPr>
        <w:t xml:space="preserve">. Η εν λόγω τροποποίηση θα </w:t>
      </w:r>
      <w:r>
        <w:rPr>
          <w:rFonts w:ascii="Calibri" w:hAnsi="Calibri" w:cs="Calibri"/>
          <w:color w:val="1F4E79" w:themeColor="accent1" w:themeShade="80"/>
          <w:sz w:val="22"/>
          <w:szCs w:val="22"/>
        </w:rPr>
        <w:lastRenderedPageBreak/>
        <w:t>αποτυπωθεί στην τελική έκδοση του μοντέλου.</w:t>
      </w:r>
      <w:r w:rsidRPr="00FA7690">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Επίσης, εύλογ</w:t>
      </w:r>
      <w:r w:rsidR="00400909">
        <w:rPr>
          <w:rFonts w:ascii="Calibri" w:hAnsi="Calibri" w:cs="Calibri"/>
          <w:color w:val="1F4E79" w:themeColor="accent1" w:themeShade="80"/>
          <w:sz w:val="22"/>
          <w:szCs w:val="22"/>
        </w:rPr>
        <w:t>ες</w:t>
      </w:r>
      <w:r>
        <w:rPr>
          <w:rFonts w:ascii="Calibri" w:hAnsi="Calibri" w:cs="Calibri"/>
          <w:color w:val="1F4E79" w:themeColor="accent1" w:themeShade="80"/>
          <w:sz w:val="22"/>
          <w:szCs w:val="22"/>
        </w:rPr>
        <w:t xml:space="preserve"> θεωρ</w:t>
      </w:r>
      <w:r w:rsidR="00400909">
        <w:rPr>
          <w:rFonts w:ascii="Calibri" w:hAnsi="Calibri" w:cs="Calibri"/>
          <w:color w:val="1F4E79" w:themeColor="accent1" w:themeShade="80"/>
          <w:sz w:val="22"/>
          <w:szCs w:val="22"/>
        </w:rPr>
        <w:t xml:space="preserve">ούνται και οι </w:t>
      </w:r>
      <w:r w:rsidR="00400909" w:rsidRPr="00400909">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πρ</w:t>
      </w:r>
      <w:r w:rsidR="00400909">
        <w:rPr>
          <w:rFonts w:ascii="Calibri" w:hAnsi="Calibri" w:cs="Calibri"/>
          <w:color w:val="1F4E79" w:themeColor="accent1" w:themeShade="80"/>
          <w:sz w:val="22"/>
          <w:szCs w:val="22"/>
        </w:rPr>
        <w:t>ο</w:t>
      </w:r>
      <w:r>
        <w:rPr>
          <w:rFonts w:ascii="Calibri" w:hAnsi="Calibri" w:cs="Calibri"/>
          <w:color w:val="1F4E79" w:themeColor="accent1" w:themeShade="80"/>
          <w:sz w:val="22"/>
          <w:szCs w:val="22"/>
        </w:rPr>
        <w:t>τ</w:t>
      </w:r>
      <w:r w:rsidR="00400909">
        <w:rPr>
          <w:rFonts w:ascii="Calibri" w:hAnsi="Calibri" w:cs="Calibri"/>
          <w:color w:val="1F4E79" w:themeColor="accent1" w:themeShade="80"/>
          <w:sz w:val="22"/>
          <w:szCs w:val="22"/>
        </w:rPr>
        <w:t>ά</w:t>
      </w:r>
      <w:r>
        <w:rPr>
          <w:rFonts w:ascii="Calibri" w:hAnsi="Calibri" w:cs="Calibri"/>
          <w:color w:val="1F4E79" w:themeColor="accent1" w:themeShade="80"/>
          <w:sz w:val="22"/>
          <w:szCs w:val="22"/>
        </w:rPr>
        <w:t>σ</w:t>
      </w:r>
      <w:r w:rsidR="00400909">
        <w:rPr>
          <w:rFonts w:ascii="Calibri" w:hAnsi="Calibri" w:cs="Calibri"/>
          <w:color w:val="1F4E79" w:themeColor="accent1" w:themeShade="80"/>
          <w:sz w:val="22"/>
          <w:szCs w:val="22"/>
        </w:rPr>
        <w:t>εις</w:t>
      </w:r>
      <w:r>
        <w:rPr>
          <w:rFonts w:ascii="Calibri" w:hAnsi="Calibri" w:cs="Calibri"/>
          <w:color w:val="1F4E79" w:themeColor="accent1" w:themeShade="80"/>
          <w:sz w:val="22"/>
          <w:szCs w:val="22"/>
        </w:rPr>
        <w:t xml:space="preserve"> για </w:t>
      </w:r>
      <w:r w:rsidR="00400909">
        <w:rPr>
          <w:rFonts w:ascii="Calibri" w:hAnsi="Calibri" w:cs="Calibri"/>
          <w:color w:val="1F4E79" w:themeColor="accent1" w:themeShade="80"/>
          <w:sz w:val="22"/>
          <w:szCs w:val="22"/>
        </w:rPr>
        <w:t xml:space="preserve">την χωρητικότητα καρτών των </w:t>
      </w:r>
      <w:r w:rsidR="00400909">
        <w:rPr>
          <w:rFonts w:ascii="Calibri" w:hAnsi="Calibri" w:cs="Calibri"/>
          <w:color w:val="1F4E79" w:themeColor="accent1" w:themeShade="80"/>
          <w:sz w:val="22"/>
          <w:szCs w:val="22"/>
          <w:lang w:val="en-US"/>
        </w:rPr>
        <w:t>OLT</w:t>
      </w:r>
      <w:r w:rsidR="00400909">
        <w:rPr>
          <w:rFonts w:ascii="Calibri" w:hAnsi="Calibri" w:cs="Calibri"/>
          <w:color w:val="1F4E79" w:themeColor="accent1" w:themeShade="80"/>
          <w:sz w:val="22"/>
          <w:szCs w:val="22"/>
        </w:rPr>
        <w:t xml:space="preserve"> και </w:t>
      </w:r>
      <w:r>
        <w:rPr>
          <w:rFonts w:ascii="Calibri" w:hAnsi="Calibri" w:cs="Calibri"/>
          <w:color w:val="1F4E79" w:themeColor="accent1" w:themeShade="80"/>
          <w:sz w:val="22"/>
          <w:szCs w:val="22"/>
        </w:rPr>
        <w:t xml:space="preserve">τη διάρκεια ζωής των παθητικών </w:t>
      </w:r>
      <w:r w:rsidR="003C293A">
        <w:rPr>
          <w:rFonts w:ascii="Calibri" w:hAnsi="Calibri" w:cs="Calibri"/>
          <w:color w:val="1F4E79" w:themeColor="accent1" w:themeShade="80"/>
          <w:sz w:val="22"/>
          <w:szCs w:val="22"/>
        </w:rPr>
        <w:t xml:space="preserve">στοιχείων </w:t>
      </w:r>
      <w:r>
        <w:rPr>
          <w:rFonts w:ascii="Calibri" w:hAnsi="Calibri" w:cs="Calibri"/>
          <w:color w:val="1F4E79" w:themeColor="accent1" w:themeShade="80"/>
          <w:sz w:val="22"/>
          <w:szCs w:val="22"/>
        </w:rPr>
        <w:t xml:space="preserve">του </w:t>
      </w:r>
      <w:r>
        <w:rPr>
          <w:rFonts w:ascii="Calibri" w:hAnsi="Calibri" w:cs="Calibri"/>
          <w:color w:val="1F4E79" w:themeColor="accent1" w:themeShade="80"/>
          <w:sz w:val="22"/>
          <w:szCs w:val="22"/>
          <w:lang w:val="en-US"/>
        </w:rPr>
        <w:t>FTTH</w:t>
      </w:r>
      <w:r w:rsidRPr="00FA7690">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δικτύου. Συγκεκριμένα</w:t>
      </w:r>
      <w:r w:rsidR="00260DCB">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η ΕΕΤΤ θα προχωρήσει σε αύξηση της διάρκειας ζωής των καλωδίων οπτικών ινών από 20 σε 25 έτη</w:t>
      </w:r>
      <w:r w:rsidR="003C293A">
        <w:rPr>
          <w:rFonts w:ascii="Calibri" w:hAnsi="Calibri" w:cs="Calibri"/>
          <w:color w:val="1F4E79" w:themeColor="accent1" w:themeShade="80"/>
          <w:sz w:val="22"/>
          <w:szCs w:val="22"/>
        </w:rPr>
        <w:t xml:space="preserve"> βάσει των αντίστοιχων αναφορών της </w:t>
      </w:r>
      <w:r w:rsidR="003C293A">
        <w:rPr>
          <w:rFonts w:ascii="Calibri" w:hAnsi="Calibri" w:cs="Calibri"/>
          <w:color w:val="1F4E79" w:themeColor="accent1" w:themeShade="80"/>
          <w:sz w:val="22"/>
          <w:szCs w:val="22"/>
          <w:lang w:val="en-US"/>
        </w:rPr>
        <w:t>ITU</w:t>
      </w:r>
      <w:r w:rsidR="00971F1E">
        <w:rPr>
          <w:rStyle w:val="aa"/>
          <w:rFonts w:ascii="Calibri" w:hAnsi="Calibri" w:cs="Calibri"/>
          <w:color w:val="1F4E79" w:themeColor="accent1" w:themeShade="80"/>
          <w:sz w:val="22"/>
          <w:szCs w:val="22"/>
          <w:lang w:val="en-US"/>
        </w:rPr>
        <w:footnoteReference w:id="1"/>
      </w:r>
      <w:r w:rsidR="00400909">
        <w:rPr>
          <w:rFonts w:ascii="Calibri" w:hAnsi="Calibri" w:cs="Calibri"/>
          <w:color w:val="1F4E79" w:themeColor="accent1" w:themeShade="80"/>
          <w:sz w:val="22"/>
          <w:szCs w:val="22"/>
        </w:rPr>
        <w:t>.</w:t>
      </w:r>
    </w:p>
    <w:p w14:paraId="163EC457" w14:textId="7EC5AD9C" w:rsidR="00FA7690" w:rsidRPr="00971F1E" w:rsidRDefault="00FA7690" w:rsidP="00FA7690">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Αναφορικά με τα σχόλια συμμετεχόντων </w:t>
      </w:r>
      <w:r w:rsidR="00400909">
        <w:rPr>
          <w:rFonts w:ascii="Calibri" w:hAnsi="Calibri" w:cs="Calibri"/>
          <w:color w:val="1F4E79" w:themeColor="accent1" w:themeShade="80"/>
          <w:sz w:val="22"/>
          <w:szCs w:val="22"/>
        </w:rPr>
        <w:t xml:space="preserve">για τις τιμές τόσο των παγίων </w:t>
      </w:r>
      <w:r w:rsidR="00400909">
        <w:rPr>
          <w:rFonts w:ascii="Calibri" w:hAnsi="Calibri" w:cs="Calibri"/>
          <w:color w:val="1F4E79" w:themeColor="accent1" w:themeShade="80"/>
          <w:sz w:val="22"/>
          <w:szCs w:val="22"/>
          <w:lang w:val="en-US"/>
        </w:rPr>
        <w:t>MSAN</w:t>
      </w:r>
      <w:r w:rsidR="00400909" w:rsidRPr="00400909">
        <w:rPr>
          <w:rFonts w:ascii="Calibri" w:hAnsi="Calibri" w:cs="Calibri"/>
          <w:color w:val="1F4E79" w:themeColor="accent1" w:themeShade="80"/>
          <w:sz w:val="22"/>
          <w:szCs w:val="22"/>
        </w:rPr>
        <w:t xml:space="preserve">, </w:t>
      </w:r>
      <w:r w:rsidR="00400909">
        <w:rPr>
          <w:rFonts w:ascii="Calibri" w:hAnsi="Calibri" w:cs="Calibri"/>
          <w:color w:val="1F4E79" w:themeColor="accent1" w:themeShade="80"/>
          <w:sz w:val="22"/>
          <w:szCs w:val="22"/>
        </w:rPr>
        <w:t xml:space="preserve">καρτών </w:t>
      </w:r>
      <w:r w:rsidR="00400909">
        <w:rPr>
          <w:rFonts w:ascii="Calibri" w:hAnsi="Calibri" w:cs="Calibri"/>
          <w:color w:val="1F4E79" w:themeColor="accent1" w:themeShade="80"/>
          <w:sz w:val="22"/>
          <w:szCs w:val="22"/>
          <w:lang w:val="en-US"/>
        </w:rPr>
        <w:t>vectoring</w:t>
      </w:r>
      <w:r w:rsidR="00400909">
        <w:rPr>
          <w:rFonts w:ascii="Calibri" w:hAnsi="Calibri" w:cs="Calibri"/>
          <w:color w:val="1F4E79" w:themeColor="accent1" w:themeShade="80"/>
          <w:sz w:val="22"/>
          <w:szCs w:val="22"/>
        </w:rPr>
        <w:t xml:space="preserve"> και καλωδίων χαλκού</w:t>
      </w:r>
      <w:r w:rsidR="00400909" w:rsidRPr="00400909">
        <w:rPr>
          <w:rFonts w:ascii="Calibri" w:hAnsi="Calibri" w:cs="Calibri"/>
          <w:color w:val="1F4E79" w:themeColor="accent1" w:themeShade="80"/>
          <w:sz w:val="22"/>
          <w:szCs w:val="22"/>
        </w:rPr>
        <w:t xml:space="preserve">, </w:t>
      </w:r>
      <w:r w:rsidR="00400909">
        <w:rPr>
          <w:rFonts w:ascii="Calibri" w:hAnsi="Calibri" w:cs="Calibri"/>
          <w:color w:val="1F4E79" w:themeColor="accent1" w:themeShade="80"/>
          <w:sz w:val="22"/>
          <w:szCs w:val="22"/>
        </w:rPr>
        <w:t>η ΕΕΤΤ επισημαίνει ότι δεν επιβεβαιώνεται από τα στοιχεία που διέθεσαν οι πάροχοι κατά τη διαδικασία συλλογής στοιχείων.</w:t>
      </w:r>
      <w:r w:rsidR="00971F1E" w:rsidRPr="00971F1E">
        <w:rPr>
          <w:rFonts w:ascii="Calibri" w:hAnsi="Calibri" w:cs="Calibri"/>
          <w:color w:val="1F4E79" w:themeColor="accent1" w:themeShade="80"/>
          <w:sz w:val="22"/>
          <w:szCs w:val="22"/>
        </w:rPr>
        <w:t xml:space="preserve"> </w:t>
      </w:r>
      <w:r w:rsidR="00971F1E">
        <w:rPr>
          <w:rFonts w:ascii="Calibri" w:hAnsi="Calibri" w:cs="Calibri"/>
          <w:color w:val="1F4E79" w:themeColor="accent1" w:themeShade="80"/>
          <w:sz w:val="22"/>
          <w:szCs w:val="22"/>
        </w:rPr>
        <w:t xml:space="preserve">Επιπλέον, σχετικά με το κόστος των </w:t>
      </w:r>
      <w:proofErr w:type="spellStart"/>
      <w:r w:rsidR="00971F1E">
        <w:rPr>
          <w:rFonts w:ascii="Calibri" w:hAnsi="Calibri" w:cs="Calibri"/>
          <w:color w:val="1F4E79" w:themeColor="accent1" w:themeShade="80"/>
          <w:sz w:val="22"/>
          <w:szCs w:val="22"/>
          <w:lang w:val="en-US"/>
        </w:rPr>
        <w:t>SuperVectoring</w:t>
      </w:r>
      <w:proofErr w:type="spellEnd"/>
      <w:r w:rsidR="00971F1E" w:rsidRPr="00971F1E">
        <w:rPr>
          <w:rFonts w:ascii="Calibri" w:hAnsi="Calibri" w:cs="Calibri"/>
          <w:color w:val="1F4E79" w:themeColor="accent1" w:themeShade="80"/>
          <w:sz w:val="22"/>
          <w:szCs w:val="22"/>
        </w:rPr>
        <w:t xml:space="preserve"> </w:t>
      </w:r>
      <w:r w:rsidR="00971F1E">
        <w:rPr>
          <w:rFonts w:ascii="Calibri" w:hAnsi="Calibri" w:cs="Calibri"/>
          <w:color w:val="1F4E79" w:themeColor="accent1" w:themeShade="80"/>
          <w:sz w:val="22"/>
          <w:szCs w:val="22"/>
          <w:lang w:val="en-US"/>
        </w:rPr>
        <w:t>line</w:t>
      </w:r>
      <w:r w:rsidR="00971F1E" w:rsidRPr="00971F1E">
        <w:rPr>
          <w:rFonts w:ascii="Calibri" w:hAnsi="Calibri" w:cs="Calibri"/>
          <w:color w:val="1F4E79" w:themeColor="accent1" w:themeShade="80"/>
          <w:sz w:val="22"/>
          <w:szCs w:val="22"/>
        </w:rPr>
        <w:t xml:space="preserve"> </w:t>
      </w:r>
      <w:r w:rsidR="00971F1E">
        <w:rPr>
          <w:rFonts w:ascii="Calibri" w:hAnsi="Calibri" w:cs="Calibri"/>
          <w:color w:val="1F4E79" w:themeColor="accent1" w:themeShade="80"/>
          <w:sz w:val="22"/>
          <w:szCs w:val="22"/>
          <w:lang w:val="en-US"/>
        </w:rPr>
        <w:t>cards</w:t>
      </w:r>
      <w:r w:rsidR="00971F1E" w:rsidRPr="00971F1E">
        <w:rPr>
          <w:rFonts w:ascii="Calibri" w:hAnsi="Calibri" w:cs="Calibri"/>
          <w:color w:val="1F4E79" w:themeColor="accent1" w:themeShade="80"/>
          <w:sz w:val="22"/>
          <w:szCs w:val="22"/>
        </w:rPr>
        <w:t xml:space="preserve"> </w:t>
      </w:r>
      <w:r w:rsidR="00971F1E">
        <w:rPr>
          <w:rFonts w:ascii="Calibri" w:hAnsi="Calibri" w:cs="Calibri"/>
          <w:color w:val="1F4E79" w:themeColor="accent1" w:themeShade="80"/>
          <w:sz w:val="22"/>
          <w:szCs w:val="22"/>
        </w:rPr>
        <w:t xml:space="preserve">θα προβεί σε διόρθωση του μοναδιαίου κόστους, ώστε η υφιστάμενή τιμή (~1200 ευρώ) να αποτυπώνεται </w:t>
      </w:r>
      <w:r w:rsidR="00731388">
        <w:rPr>
          <w:rFonts w:ascii="Calibri" w:hAnsi="Calibri" w:cs="Calibri"/>
          <w:color w:val="1F4E79" w:themeColor="accent1" w:themeShade="80"/>
          <w:sz w:val="22"/>
          <w:szCs w:val="22"/>
        </w:rPr>
        <w:t>σ</w:t>
      </w:r>
      <w:r w:rsidR="00971F1E">
        <w:rPr>
          <w:rFonts w:ascii="Calibri" w:hAnsi="Calibri" w:cs="Calibri"/>
          <w:color w:val="1F4E79" w:themeColor="accent1" w:themeShade="80"/>
          <w:sz w:val="22"/>
          <w:szCs w:val="22"/>
        </w:rPr>
        <w:t>το έτος εγκατάστασης.</w:t>
      </w:r>
    </w:p>
    <w:p w14:paraId="2D8A7603" w14:textId="69EA3C88" w:rsidR="00485D8F" w:rsidRDefault="00400909" w:rsidP="00400909">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Επιπρόσθετα, η πρόταση ενός συμμετέχοντα για εφαρμογή</w:t>
      </w:r>
      <w:r w:rsidRPr="00400909">
        <w:rPr>
          <w:rFonts w:ascii="Calibri" w:hAnsi="Calibri" w:cs="Calibri"/>
          <w:color w:val="1F4E79" w:themeColor="accent1" w:themeShade="80"/>
          <w:sz w:val="22"/>
          <w:szCs w:val="22"/>
        </w:rPr>
        <w:t xml:space="preserve"> τη</w:t>
      </w:r>
      <w:r>
        <w:rPr>
          <w:rFonts w:ascii="Calibri" w:hAnsi="Calibri" w:cs="Calibri"/>
          <w:color w:val="1F4E79" w:themeColor="accent1" w:themeShade="80"/>
          <w:sz w:val="22"/>
          <w:szCs w:val="22"/>
        </w:rPr>
        <w:t>ς</w:t>
      </w:r>
      <w:r w:rsidRPr="00400909">
        <w:rPr>
          <w:rFonts w:ascii="Calibri" w:hAnsi="Calibri" w:cs="Calibri"/>
          <w:color w:val="1F4E79" w:themeColor="accent1" w:themeShade="80"/>
          <w:sz w:val="22"/>
          <w:szCs w:val="22"/>
        </w:rPr>
        <w:t xml:space="preserve"> μεθοδολογία</w:t>
      </w:r>
      <w:r>
        <w:rPr>
          <w:rFonts w:ascii="Calibri" w:hAnsi="Calibri" w:cs="Calibri"/>
          <w:color w:val="1F4E79" w:themeColor="accent1" w:themeShade="80"/>
          <w:sz w:val="22"/>
          <w:szCs w:val="22"/>
        </w:rPr>
        <w:t>ς</w:t>
      </w:r>
      <w:r w:rsidRPr="00400909">
        <w:rPr>
          <w:rFonts w:ascii="Calibri" w:hAnsi="Calibri" w:cs="Calibri"/>
          <w:color w:val="1F4E79" w:themeColor="accent1" w:themeShade="80"/>
          <w:sz w:val="22"/>
          <w:szCs w:val="22"/>
        </w:rPr>
        <w:t xml:space="preserve"> αντιστάθμισης πληθωρισμού και στην περίπτωση υπολογισμού του OPEX</w:t>
      </w:r>
      <w:r>
        <w:rPr>
          <w:rFonts w:ascii="Calibri" w:hAnsi="Calibri" w:cs="Calibri"/>
          <w:color w:val="1F4E79" w:themeColor="accent1" w:themeShade="80"/>
          <w:sz w:val="22"/>
          <w:szCs w:val="22"/>
        </w:rPr>
        <w:t>, δεν είναι εύλογη</w:t>
      </w:r>
      <w:r w:rsidR="00971F1E" w:rsidRPr="00971F1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 </w:t>
      </w:r>
      <w:r w:rsidR="00971F1E">
        <w:rPr>
          <w:rFonts w:ascii="Calibri" w:hAnsi="Calibri" w:cs="Calibri"/>
          <w:color w:val="1F4E79" w:themeColor="accent1" w:themeShade="80"/>
          <w:sz w:val="22"/>
          <w:szCs w:val="22"/>
          <w:lang w:val="en-US"/>
        </w:rPr>
        <w:t>T</w:t>
      </w:r>
      <w:r>
        <w:rPr>
          <w:rFonts w:ascii="Calibri" w:hAnsi="Calibri" w:cs="Calibri"/>
          <w:color w:val="1F4E79" w:themeColor="accent1" w:themeShade="80"/>
          <w:sz w:val="22"/>
          <w:szCs w:val="22"/>
        </w:rPr>
        <w:t xml:space="preserve">ο </w:t>
      </w:r>
      <w:r>
        <w:rPr>
          <w:rFonts w:ascii="Calibri" w:hAnsi="Calibri" w:cs="Calibri"/>
          <w:color w:val="1F4E79" w:themeColor="accent1" w:themeShade="80"/>
          <w:sz w:val="22"/>
          <w:szCs w:val="22"/>
          <w:lang w:val="en-US"/>
        </w:rPr>
        <w:t>OPEX</w:t>
      </w:r>
      <w:r w:rsidRPr="00400909">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αντικατοπτρίζει τα ετήσια κόστη που αντιλαμβάνεται ο πάροχος σε ετήσια βάση δεδομένης της επίδρασης του πληθωρισμού ανεξαρτήτως του έτους κατασκευής και των όποιων επαναγορών εξοπλισμού. Αντιθέτως, οι υπολογισμοί του </w:t>
      </w:r>
      <w:r>
        <w:rPr>
          <w:rFonts w:ascii="Calibri" w:hAnsi="Calibri" w:cs="Calibri"/>
          <w:color w:val="1F4E79" w:themeColor="accent1" w:themeShade="80"/>
          <w:sz w:val="22"/>
          <w:szCs w:val="22"/>
          <w:lang w:val="en-US"/>
        </w:rPr>
        <w:t>CAPEX</w:t>
      </w:r>
      <w:r>
        <w:rPr>
          <w:rFonts w:ascii="Calibri" w:hAnsi="Calibri" w:cs="Calibri"/>
          <w:color w:val="1F4E79" w:themeColor="accent1" w:themeShade="80"/>
          <w:sz w:val="22"/>
          <w:szCs w:val="22"/>
        </w:rPr>
        <w:t>, για να μην εξαρτώνται έντονα από το ακριβές έτος κατασκευής και επαναγορών, κρίνεται σκόπιμο να προκύπτουν βάσει της μεθόδου αντιστάθμισης πληθωρισμού. Ως εκ τούτου, η ΕΕΤΤ εμμένει στην μεθοδολογία του κειμένου Αρχών του μοντέλου.</w:t>
      </w:r>
    </w:p>
    <w:p w14:paraId="77A32400" w14:textId="0DE0E83A" w:rsidR="00F743A4" w:rsidRPr="00400909" w:rsidRDefault="00F743A4" w:rsidP="00400909">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Τέλος, λαμβάνοντας υπόψη το σχόλιο του τελευταίου συμμετέχοντα, η ΕΕΤΤ θεωρεί εύλογη μια μείωση του κόστους σχεδιασμού της τάξης του 20% στην περίπτωση του </w:t>
      </w:r>
      <w:r>
        <w:rPr>
          <w:rFonts w:ascii="Calibri" w:hAnsi="Calibri" w:cs="Calibri"/>
          <w:color w:val="1F4E79" w:themeColor="accent1" w:themeShade="80"/>
          <w:sz w:val="22"/>
          <w:szCs w:val="22"/>
          <w:lang w:val="en-US"/>
        </w:rPr>
        <w:t>FTTH</w:t>
      </w:r>
      <w:r>
        <w:rPr>
          <w:rFonts w:ascii="Calibri" w:hAnsi="Calibri" w:cs="Calibri"/>
          <w:color w:val="1F4E79" w:themeColor="accent1" w:themeShade="80"/>
          <w:sz w:val="22"/>
          <w:szCs w:val="22"/>
        </w:rPr>
        <w:t xml:space="preserve">, και </w:t>
      </w:r>
      <w:r w:rsidR="00191908">
        <w:rPr>
          <w:rFonts w:ascii="Calibri" w:hAnsi="Calibri" w:cs="Calibri"/>
          <w:color w:val="1F4E79" w:themeColor="accent1" w:themeShade="80"/>
          <w:sz w:val="22"/>
          <w:szCs w:val="22"/>
        </w:rPr>
        <w:t xml:space="preserve">θα </w:t>
      </w:r>
      <w:r>
        <w:rPr>
          <w:rFonts w:ascii="Calibri" w:hAnsi="Calibri" w:cs="Calibri"/>
          <w:color w:val="1F4E79" w:themeColor="accent1" w:themeShade="80"/>
          <w:sz w:val="22"/>
          <w:szCs w:val="22"/>
        </w:rPr>
        <w:t>προχωρήσει στην ενσωμάτωσή της μέσω εισαγωγής αντίστοιχης παράμερου</w:t>
      </w:r>
      <w:r w:rsidRPr="00F743A4">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w:t>
      </w:r>
      <w:proofErr w:type="spellStart"/>
      <w:r w:rsidRPr="00F743A4">
        <w:rPr>
          <w:rFonts w:ascii="Calibri" w:hAnsi="Calibri" w:cs="Calibri"/>
          <w:color w:val="1F4E79" w:themeColor="accent1" w:themeShade="80"/>
          <w:sz w:val="22"/>
          <w:szCs w:val="22"/>
        </w:rPr>
        <w:t>Network</w:t>
      </w:r>
      <w:proofErr w:type="spellEnd"/>
      <w:r w:rsidRPr="00F743A4">
        <w:rPr>
          <w:rFonts w:ascii="Calibri" w:hAnsi="Calibri" w:cs="Calibri"/>
          <w:color w:val="1F4E79" w:themeColor="accent1" w:themeShade="80"/>
          <w:sz w:val="22"/>
          <w:szCs w:val="22"/>
        </w:rPr>
        <w:t xml:space="preserve"> </w:t>
      </w:r>
      <w:proofErr w:type="spellStart"/>
      <w:r w:rsidRPr="00F743A4">
        <w:rPr>
          <w:rFonts w:ascii="Calibri" w:hAnsi="Calibri" w:cs="Calibri"/>
          <w:color w:val="1F4E79" w:themeColor="accent1" w:themeShade="80"/>
          <w:sz w:val="22"/>
          <w:szCs w:val="22"/>
        </w:rPr>
        <w:t>Planning</w:t>
      </w:r>
      <w:proofErr w:type="spellEnd"/>
      <w:r w:rsidRPr="00F743A4">
        <w:rPr>
          <w:rFonts w:ascii="Calibri" w:hAnsi="Calibri" w:cs="Calibri"/>
          <w:color w:val="1F4E79" w:themeColor="accent1" w:themeShade="80"/>
          <w:sz w:val="22"/>
          <w:szCs w:val="22"/>
        </w:rPr>
        <w:t xml:space="preserve"> FTTH</w:t>
      </w:r>
      <w:r>
        <w:rPr>
          <w:rFonts w:ascii="Calibri" w:hAnsi="Calibri" w:cs="Calibri"/>
          <w:color w:val="1F4E79" w:themeColor="accent1" w:themeShade="80"/>
          <w:sz w:val="22"/>
          <w:szCs w:val="22"/>
        </w:rPr>
        <w:t>»</w:t>
      </w:r>
      <w:r w:rsidRPr="00F743A4">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στο μοντέλο.</w:t>
      </w:r>
    </w:p>
    <w:p w14:paraId="6465AADC" w14:textId="77777777" w:rsidR="00C81C4E" w:rsidRPr="00B12AE4" w:rsidRDefault="00C81C4E" w:rsidP="00B12AE4">
      <w:pPr>
        <w:pStyle w:val="ab"/>
        <w:spacing w:before="141" w:line="259" w:lineRule="auto"/>
        <w:ind w:left="143" w:right="133"/>
        <w:rPr>
          <w:rFonts w:ascii="Calibri" w:hAnsi="Calibri" w:cs="Calibri"/>
          <w:sz w:val="22"/>
          <w:szCs w:val="22"/>
        </w:rPr>
      </w:pPr>
    </w:p>
    <w:p w14:paraId="232CFF0B" w14:textId="2AF47D07" w:rsidR="00063071" w:rsidRPr="00B77652" w:rsidRDefault="00063071" w:rsidP="00392B3A">
      <w:pPr>
        <w:pStyle w:val="2"/>
        <w:keepNext w:val="0"/>
        <w:widowControl w:val="0"/>
        <w:numPr>
          <w:ilvl w:val="1"/>
          <w:numId w:val="6"/>
        </w:numPr>
        <w:tabs>
          <w:tab w:val="left" w:pos="720"/>
        </w:tabs>
        <w:autoSpaceDE w:val="0"/>
        <w:autoSpaceDN w:val="0"/>
        <w:spacing w:line="240" w:lineRule="auto"/>
        <w:jc w:val="both"/>
        <w:rPr>
          <w:rFonts w:ascii="Calibri" w:hAnsi="Calibri" w:cs="Calibri"/>
          <w:b w:val="0"/>
          <w:color w:val="2E5395"/>
          <w:sz w:val="22"/>
          <w:szCs w:val="22"/>
        </w:rPr>
      </w:pPr>
      <w:r w:rsidRPr="00063071">
        <w:rPr>
          <w:rFonts w:ascii="Calibri" w:hAnsi="Calibri" w:cs="Calibri"/>
          <w:b w:val="0"/>
          <w:color w:val="2E5395"/>
          <w:sz w:val="22"/>
          <w:szCs w:val="22"/>
        </w:rPr>
        <w:t>Κοινά</w:t>
      </w:r>
      <w:r w:rsidRPr="00B77652">
        <w:rPr>
          <w:rFonts w:ascii="Calibri" w:hAnsi="Calibri" w:cs="Calibri"/>
          <w:b w:val="0"/>
          <w:color w:val="2E5395"/>
          <w:sz w:val="22"/>
          <w:szCs w:val="22"/>
        </w:rPr>
        <w:t xml:space="preserve"> </w:t>
      </w:r>
      <w:r w:rsidRPr="00063071">
        <w:rPr>
          <w:rFonts w:ascii="Calibri" w:hAnsi="Calibri" w:cs="Calibri"/>
          <w:b w:val="0"/>
          <w:color w:val="2E5395"/>
          <w:sz w:val="22"/>
          <w:szCs w:val="22"/>
        </w:rPr>
        <w:t>κόστη</w:t>
      </w:r>
      <w:r w:rsidRPr="00B77652">
        <w:rPr>
          <w:rFonts w:ascii="Calibri" w:hAnsi="Calibri" w:cs="Calibri"/>
          <w:b w:val="0"/>
          <w:color w:val="2E5395"/>
          <w:sz w:val="22"/>
          <w:szCs w:val="22"/>
        </w:rPr>
        <w:t xml:space="preserve"> (</w:t>
      </w:r>
      <w:proofErr w:type="spellStart"/>
      <w:r w:rsidRPr="00B77652">
        <w:rPr>
          <w:rFonts w:ascii="Calibri" w:hAnsi="Calibri" w:cs="Calibri"/>
          <w:b w:val="0"/>
          <w:color w:val="2E5395"/>
          <w:sz w:val="22"/>
          <w:szCs w:val="22"/>
        </w:rPr>
        <w:t>Overheads</w:t>
      </w:r>
      <w:proofErr w:type="spellEnd"/>
      <w:r w:rsidRPr="00B77652">
        <w:rPr>
          <w:rFonts w:ascii="Calibri" w:hAnsi="Calibri" w:cs="Calibri"/>
          <w:b w:val="0"/>
          <w:color w:val="2E5395"/>
          <w:sz w:val="22"/>
          <w:szCs w:val="22"/>
        </w:rPr>
        <w:t>)</w:t>
      </w:r>
    </w:p>
    <w:p w14:paraId="50137847" w14:textId="2DE4F2EE" w:rsidR="00842786" w:rsidRDefault="00842786" w:rsidP="00B12AE4">
      <w:pPr>
        <w:pStyle w:val="ab"/>
        <w:spacing w:before="143" w:line="259" w:lineRule="auto"/>
        <w:ind w:right="136"/>
        <w:rPr>
          <w:rFonts w:ascii="Calibri" w:hAnsi="Calibri" w:cs="Calibri"/>
          <w:sz w:val="22"/>
          <w:szCs w:val="22"/>
        </w:rPr>
      </w:pPr>
      <w:r>
        <w:rPr>
          <w:rFonts w:ascii="Calibri" w:hAnsi="Calibri" w:cs="Calibri"/>
          <w:sz w:val="22"/>
          <w:szCs w:val="22"/>
        </w:rPr>
        <w:t xml:space="preserve">Ένας πάροχος </w:t>
      </w:r>
      <w:r w:rsidR="003C28FC">
        <w:rPr>
          <w:rFonts w:ascii="Calibri" w:hAnsi="Calibri" w:cs="Calibri"/>
          <w:sz w:val="22"/>
          <w:szCs w:val="22"/>
        </w:rPr>
        <w:t>(----)</w:t>
      </w:r>
      <w:r>
        <w:rPr>
          <w:rFonts w:ascii="Calibri" w:hAnsi="Calibri" w:cs="Calibri"/>
          <w:sz w:val="22"/>
          <w:szCs w:val="22"/>
        </w:rPr>
        <w:t xml:space="preserve"> διαφωνεί με </w:t>
      </w:r>
      <w:r w:rsidRPr="00842786">
        <w:rPr>
          <w:rFonts w:ascii="Calibri" w:hAnsi="Calibri" w:cs="Calibri"/>
          <w:sz w:val="22"/>
          <w:szCs w:val="22"/>
        </w:rPr>
        <w:t xml:space="preserve">το </w:t>
      </w:r>
      <w:r>
        <w:rPr>
          <w:rFonts w:ascii="Calibri" w:hAnsi="Calibri" w:cs="Calibri"/>
          <w:sz w:val="22"/>
          <w:szCs w:val="22"/>
        </w:rPr>
        <w:t xml:space="preserve">προτεινόμενο </w:t>
      </w:r>
      <w:r w:rsidRPr="00842786">
        <w:rPr>
          <w:rFonts w:ascii="Calibri" w:hAnsi="Calibri" w:cs="Calibri"/>
          <w:sz w:val="22"/>
          <w:szCs w:val="22"/>
        </w:rPr>
        <w:t>ποσοστό EPMU 10% που χρησιμοποιεί η ΕΕΤΤ για τα κοινά εταιρικά κόστη (</w:t>
      </w:r>
      <w:proofErr w:type="spellStart"/>
      <w:r w:rsidRPr="00842786">
        <w:rPr>
          <w:rFonts w:ascii="Calibri" w:hAnsi="Calibri" w:cs="Calibri"/>
          <w:sz w:val="22"/>
          <w:szCs w:val="22"/>
        </w:rPr>
        <w:t>Business</w:t>
      </w:r>
      <w:proofErr w:type="spellEnd"/>
      <w:r w:rsidRPr="00842786">
        <w:rPr>
          <w:rFonts w:ascii="Calibri" w:hAnsi="Calibri" w:cs="Calibri"/>
          <w:sz w:val="22"/>
          <w:szCs w:val="22"/>
        </w:rPr>
        <w:t xml:space="preserve"> </w:t>
      </w:r>
      <w:proofErr w:type="spellStart"/>
      <w:r w:rsidRPr="00842786">
        <w:rPr>
          <w:rFonts w:ascii="Calibri" w:hAnsi="Calibri" w:cs="Calibri"/>
          <w:sz w:val="22"/>
          <w:szCs w:val="22"/>
        </w:rPr>
        <w:t>Overheads</w:t>
      </w:r>
      <w:proofErr w:type="spellEnd"/>
      <w:r w:rsidRPr="00842786">
        <w:rPr>
          <w:rFonts w:ascii="Calibri" w:hAnsi="Calibri" w:cs="Calibri"/>
          <w:sz w:val="22"/>
          <w:szCs w:val="22"/>
        </w:rPr>
        <w:t>)</w:t>
      </w:r>
      <w:r>
        <w:rPr>
          <w:rFonts w:ascii="Calibri" w:hAnsi="Calibri" w:cs="Calibri"/>
          <w:sz w:val="22"/>
          <w:szCs w:val="22"/>
        </w:rPr>
        <w:t>,</w:t>
      </w:r>
      <w:r w:rsidRPr="00842786">
        <w:rPr>
          <w:rFonts w:ascii="Calibri" w:hAnsi="Calibri" w:cs="Calibri"/>
          <w:sz w:val="22"/>
          <w:szCs w:val="22"/>
        </w:rPr>
        <w:t xml:space="preserve"> </w:t>
      </w:r>
      <w:r>
        <w:rPr>
          <w:rFonts w:ascii="Calibri" w:hAnsi="Calibri" w:cs="Calibri"/>
          <w:sz w:val="22"/>
          <w:szCs w:val="22"/>
        </w:rPr>
        <w:t xml:space="preserve">το οποίο </w:t>
      </w:r>
      <w:r w:rsidRPr="00842786">
        <w:rPr>
          <w:rFonts w:ascii="Calibri" w:hAnsi="Calibri" w:cs="Calibri"/>
          <w:sz w:val="22"/>
          <w:szCs w:val="22"/>
        </w:rPr>
        <w:t>βασίζεται κυρίως σε διεθνές benchmarking και όχι σε πραγματικά στοιχεία της ελληνικής αγοράς</w:t>
      </w:r>
      <w:r w:rsidR="00633D25" w:rsidRPr="00633D25">
        <w:rPr>
          <w:rFonts w:ascii="Calibri" w:hAnsi="Calibri" w:cs="Calibri"/>
          <w:sz w:val="22"/>
          <w:szCs w:val="22"/>
        </w:rPr>
        <w:t xml:space="preserve">, </w:t>
      </w:r>
      <w:r w:rsidR="00633D25">
        <w:rPr>
          <w:rFonts w:ascii="Calibri" w:hAnsi="Calibri" w:cs="Calibri"/>
          <w:sz w:val="22"/>
          <w:szCs w:val="22"/>
        </w:rPr>
        <w:t>και ε</w:t>
      </w:r>
      <w:r w:rsidRPr="00842786">
        <w:rPr>
          <w:rFonts w:ascii="Calibri" w:hAnsi="Calibri" w:cs="Calibri"/>
          <w:sz w:val="22"/>
          <w:szCs w:val="22"/>
        </w:rPr>
        <w:t xml:space="preserve">πισημαίνει ότι το benchmarking πρέπει να διασφαλίζει </w:t>
      </w:r>
      <w:r w:rsidR="00633D25">
        <w:rPr>
          <w:rFonts w:ascii="Calibri" w:hAnsi="Calibri" w:cs="Calibri"/>
          <w:sz w:val="22"/>
          <w:szCs w:val="22"/>
        </w:rPr>
        <w:t>τ</w:t>
      </w:r>
      <w:r w:rsidRPr="00842786">
        <w:rPr>
          <w:rFonts w:ascii="Calibri" w:hAnsi="Calibri" w:cs="Calibri"/>
          <w:sz w:val="22"/>
          <w:szCs w:val="22"/>
        </w:rPr>
        <w:t xml:space="preserve">η </w:t>
      </w:r>
      <w:proofErr w:type="spellStart"/>
      <w:r w:rsidRPr="00842786">
        <w:rPr>
          <w:rFonts w:ascii="Calibri" w:hAnsi="Calibri" w:cs="Calibri"/>
          <w:sz w:val="22"/>
          <w:szCs w:val="22"/>
        </w:rPr>
        <w:t>συγκρισιμότητα</w:t>
      </w:r>
      <w:proofErr w:type="spellEnd"/>
      <w:r w:rsidRPr="00842786">
        <w:rPr>
          <w:rFonts w:ascii="Calibri" w:hAnsi="Calibri" w:cs="Calibri"/>
          <w:sz w:val="22"/>
          <w:szCs w:val="22"/>
        </w:rPr>
        <w:t xml:space="preserve"> των στοιχείων μεταξύ χωρών. </w:t>
      </w:r>
      <w:r w:rsidR="00633D25">
        <w:rPr>
          <w:rFonts w:ascii="Calibri" w:hAnsi="Calibri" w:cs="Calibri"/>
          <w:sz w:val="22"/>
          <w:szCs w:val="22"/>
        </w:rPr>
        <w:t xml:space="preserve">Επίσης, αναφέρει </w:t>
      </w:r>
      <w:r w:rsidRPr="00842786">
        <w:rPr>
          <w:rFonts w:ascii="Calibri" w:hAnsi="Calibri" w:cs="Calibri"/>
          <w:sz w:val="22"/>
          <w:szCs w:val="22"/>
        </w:rPr>
        <w:t xml:space="preserve">ότι </w:t>
      </w:r>
      <w:r w:rsidR="00633D25">
        <w:rPr>
          <w:rFonts w:ascii="Calibri" w:hAnsi="Calibri" w:cs="Calibri"/>
          <w:sz w:val="22"/>
          <w:szCs w:val="22"/>
        </w:rPr>
        <w:t xml:space="preserve">βάσει διεθνούς πρακτικής, </w:t>
      </w:r>
      <w:r w:rsidRPr="00842786">
        <w:rPr>
          <w:rFonts w:ascii="Calibri" w:hAnsi="Calibri" w:cs="Calibri"/>
          <w:sz w:val="22"/>
          <w:szCs w:val="22"/>
        </w:rPr>
        <w:t>διαχωρίζ</w:t>
      </w:r>
      <w:r w:rsidR="00633D25">
        <w:rPr>
          <w:rFonts w:ascii="Calibri" w:hAnsi="Calibri" w:cs="Calibri"/>
          <w:sz w:val="22"/>
          <w:szCs w:val="22"/>
        </w:rPr>
        <w:t>ονται</w:t>
      </w:r>
      <w:r w:rsidRPr="00842786">
        <w:rPr>
          <w:rFonts w:ascii="Calibri" w:hAnsi="Calibri" w:cs="Calibri"/>
          <w:sz w:val="22"/>
          <w:szCs w:val="22"/>
        </w:rPr>
        <w:t xml:space="preserve"> τα “</w:t>
      </w:r>
      <w:proofErr w:type="spellStart"/>
      <w:r w:rsidRPr="00842786">
        <w:rPr>
          <w:rFonts w:ascii="Calibri" w:hAnsi="Calibri" w:cs="Calibri"/>
          <w:sz w:val="22"/>
          <w:szCs w:val="22"/>
        </w:rPr>
        <w:t>common</w:t>
      </w:r>
      <w:proofErr w:type="spellEnd"/>
      <w:r w:rsidRPr="00842786">
        <w:rPr>
          <w:rFonts w:ascii="Calibri" w:hAnsi="Calibri" w:cs="Calibri"/>
          <w:sz w:val="22"/>
          <w:szCs w:val="22"/>
        </w:rPr>
        <w:t xml:space="preserve"> </w:t>
      </w:r>
      <w:proofErr w:type="spellStart"/>
      <w:r w:rsidRPr="00842786">
        <w:rPr>
          <w:rFonts w:ascii="Calibri" w:hAnsi="Calibri" w:cs="Calibri"/>
          <w:sz w:val="22"/>
          <w:szCs w:val="22"/>
        </w:rPr>
        <w:t>costs</w:t>
      </w:r>
      <w:proofErr w:type="spellEnd"/>
      <w:r w:rsidRPr="00842786">
        <w:rPr>
          <w:rFonts w:ascii="Calibri" w:hAnsi="Calibri" w:cs="Calibri"/>
          <w:sz w:val="22"/>
          <w:szCs w:val="22"/>
        </w:rPr>
        <w:t>” από τα “</w:t>
      </w:r>
      <w:proofErr w:type="spellStart"/>
      <w:r w:rsidRPr="00842786">
        <w:rPr>
          <w:rFonts w:ascii="Calibri" w:hAnsi="Calibri" w:cs="Calibri"/>
          <w:sz w:val="22"/>
          <w:szCs w:val="22"/>
        </w:rPr>
        <w:t>indirect</w:t>
      </w:r>
      <w:proofErr w:type="spellEnd"/>
      <w:r w:rsidRPr="00842786">
        <w:rPr>
          <w:rFonts w:ascii="Calibri" w:hAnsi="Calibri" w:cs="Calibri"/>
          <w:sz w:val="22"/>
          <w:szCs w:val="22"/>
        </w:rPr>
        <w:t xml:space="preserve"> </w:t>
      </w:r>
      <w:proofErr w:type="spellStart"/>
      <w:r w:rsidRPr="00842786">
        <w:rPr>
          <w:rFonts w:ascii="Calibri" w:hAnsi="Calibri" w:cs="Calibri"/>
          <w:sz w:val="22"/>
          <w:szCs w:val="22"/>
        </w:rPr>
        <w:t>costs</w:t>
      </w:r>
      <w:proofErr w:type="spellEnd"/>
      <w:r w:rsidRPr="00842786">
        <w:rPr>
          <w:rFonts w:ascii="Calibri" w:hAnsi="Calibri" w:cs="Calibri"/>
          <w:sz w:val="22"/>
          <w:szCs w:val="22"/>
        </w:rPr>
        <w:t xml:space="preserve">”, κάτι που δεν έχει κάνει η ΕΕΤΤ, καθώς δεν υπολογίζει ούτε ενσωματώνει τα έμμεσα κόστη στη βάση του EPMU. Προτείνει, επομένως, να πραγματοποιηθεί ξεχωριστός υπολογισμός για τα έμμεσα κόστη και να αποσαφηνιστεί ποια στοιχεία περιλαμβάνονται στο </w:t>
      </w:r>
      <w:proofErr w:type="spellStart"/>
      <w:r w:rsidRPr="00842786">
        <w:rPr>
          <w:rFonts w:ascii="Calibri" w:hAnsi="Calibri" w:cs="Calibri"/>
          <w:sz w:val="22"/>
          <w:szCs w:val="22"/>
        </w:rPr>
        <w:t>benchmark</w:t>
      </w:r>
      <w:proofErr w:type="spellEnd"/>
      <w:r w:rsidRPr="00842786">
        <w:rPr>
          <w:rFonts w:ascii="Calibri" w:hAnsi="Calibri" w:cs="Calibri"/>
          <w:sz w:val="22"/>
          <w:szCs w:val="22"/>
        </w:rPr>
        <w:t xml:space="preserve"> της ΕΕΤΤ. Τέλος, </w:t>
      </w:r>
      <w:r w:rsidR="00633D25">
        <w:rPr>
          <w:rFonts w:ascii="Calibri" w:hAnsi="Calibri" w:cs="Calibri"/>
          <w:sz w:val="22"/>
          <w:szCs w:val="22"/>
        </w:rPr>
        <w:t>προτείνει</w:t>
      </w:r>
      <w:r w:rsidRPr="00842786">
        <w:rPr>
          <w:rFonts w:ascii="Calibri" w:hAnsi="Calibri" w:cs="Calibri"/>
          <w:sz w:val="22"/>
          <w:szCs w:val="22"/>
        </w:rPr>
        <w:t xml:space="preserve"> να χρησιμοποιηθούν τα ελεγμένα στοιχεία του Ε.ΚΟ.Σ. 2023 του ΟΤΕ, </w:t>
      </w:r>
      <w:r w:rsidR="002F0007" w:rsidRPr="003C28FC">
        <w:rPr>
          <w:rFonts w:ascii="Calibri" w:hAnsi="Calibri" w:cs="Calibri"/>
          <w:sz w:val="22"/>
          <w:szCs w:val="22"/>
        </w:rPr>
        <w:t>(----)</w:t>
      </w:r>
      <w:r w:rsidRPr="00842786">
        <w:rPr>
          <w:rFonts w:ascii="Calibri" w:hAnsi="Calibri" w:cs="Calibri"/>
          <w:sz w:val="22"/>
          <w:szCs w:val="22"/>
        </w:rPr>
        <w:t>, ως ρεαλιστικότερη βάση για την ελληνική αγορά.</w:t>
      </w:r>
    </w:p>
    <w:p w14:paraId="1C689BDB" w14:textId="277962D4" w:rsidR="002C406D" w:rsidRDefault="002C406D" w:rsidP="00283F12">
      <w:pPr>
        <w:pStyle w:val="ab"/>
        <w:spacing w:before="140" w:line="259" w:lineRule="auto"/>
        <w:ind w:right="136"/>
        <w:rPr>
          <w:rFonts w:ascii="Calibri" w:hAnsi="Calibri" w:cs="Calibri"/>
          <w:sz w:val="22"/>
          <w:szCs w:val="22"/>
        </w:rPr>
      </w:pPr>
      <w:r>
        <w:rPr>
          <w:rFonts w:ascii="Calibri" w:hAnsi="Calibri" w:cs="Calibri"/>
          <w:sz w:val="22"/>
          <w:szCs w:val="22"/>
        </w:rPr>
        <w:t xml:space="preserve">Ένας συμμετέχων </w:t>
      </w:r>
      <w:r w:rsidR="003C28FC">
        <w:rPr>
          <w:rFonts w:ascii="Calibri" w:hAnsi="Calibri" w:cs="Calibri"/>
          <w:sz w:val="22"/>
          <w:szCs w:val="22"/>
        </w:rPr>
        <w:t>(----)</w:t>
      </w:r>
      <w:r>
        <w:rPr>
          <w:rFonts w:ascii="Calibri" w:hAnsi="Calibri" w:cs="Calibri"/>
          <w:sz w:val="22"/>
          <w:szCs w:val="22"/>
        </w:rPr>
        <w:t xml:space="preserve"> αναφέρει ότι δ</w:t>
      </w:r>
      <w:r w:rsidRPr="00063071">
        <w:rPr>
          <w:rFonts w:ascii="Calibri" w:hAnsi="Calibri" w:cs="Calibri"/>
          <w:sz w:val="22"/>
          <w:szCs w:val="22"/>
        </w:rPr>
        <w:t xml:space="preserve">εν παρέχεται αιτιολόγηση για το πώς υπολογίζονται τα κοινά κόστη, ούτε και για την μεγάλη μείωση που παρατηρείται μεταξύ του μοντέλου </w:t>
      </w:r>
      <w:r w:rsidRPr="00063071">
        <w:rPr>
          <w:rFonts w:ascii="Calibri" w:hAnsi="Calibri" w:cs="Calibri"/>
          <w:sz w:val="22"/>
          <w:szCs w:val="22"/>
        </w:rPr>
        <w:lastRenderedPageBreak/>
        <w:t>2019 και 2025, ιδίως αν ληφθεί υπόψη ότι όλοι οι συντελεστές</w:t>
      </w:r>
      <w:r w:rsidRPr="00B12AE4">
        <w:rPr>
          <w:rFonts w:ascii="Calibri" w:hAnsi="Calibri" w:cs="Calibri"/>
          <w:sz w:val="22"/>
          <w:szCs w:val="22"/>
        </w:rPr>
        <w:t xml:space="preserve"> </w:t>
      </w:r>
      <w:r w:rsidRPr="00063071">
        <w:rPr>
          <w:rFonts w:ascii="Calibri" w:hAnsi="Calibri" w:cs="Calibri"/>
          <w:sz w:val="22"/>
          <w:szCs w:val="22"/>
        </w:rPr>
        <w:t>κόστους</w:t>
      </w:r>
      <w:r w:rsidRPr="00B12AE4">
        <w:rPr>
          <w:rFonts w:ascii="Calibri" w:hAnsi="Calibri" w:cs="Calibri"/>
          <w:sz w:val="22"/>
          <w:szCs w:val="22"/>
        </w:rPr>
        <w:t xml:space="preserve"> </w:t>
      </w:r>
      <w:r w:rsidRPr="00063071">
        <w:rPr>
          <w:rFonts w:ascii="Calibri" w:hAnsi="Calibri" w:cs="Calibri"/>
          <w:sz w:val="22"/>
          <w:szCs w:val="22"/>
        </w:rPr>
        <w:t>που</w:t>
      </w:r>
      <w:r w:rsidRPr="00B12AE4">
        <w:rPr>
          <w:rFonts w:ascii="Calibri" w:hAnsi="Calibri" w:cs="Calibri"/>
          <w:sz w:val="22"/>
          <w:szCs w:val="22"/>
        </w:rPr>
        <w:t xml:space="preserve"> </w:t>
      </w:r>
      <w:r w:rsidRPr="00063071">
        <w:rPr>
          <w:rFonts w:ascii="Calibri" w:hAnsi="Calibri" w:cs="Calibri"/>
          <w:sz w:val="22"/>
          <w:szCs w:val="22"/>
        </w:rPr>
        <w:t>επηρεάζουν</w:t>
      </w:r>
      <w:r w:rsidRPr="00B12AE4">
        <w:rPr>
          <w:rFonts w:ascii="Calibri" w:hAnsi="Calibri" w:cs="Calibri"/>
          <w:sz w:val="22"/>
          <w:szCs w:val="22"/>
        </w:rPr>
        <w:t xml:space="preserve"> </w:t>
      </w:r>
      <w:r w:rsidRPr="00063071">
        <w:rPr>
          <w:rFonts w:ascii="Calibri" w:hAnsi="Calibri" w:cs="Calibri"/>
          <w:sz w:val="22"/>
          <w:szCs w:val="22"/>
        </w:rPr>
        <w:t>τα</w:t>
      </w:r>
      <w:r w:rsidRPr="00B12AE4">
        <w:rPr>
          <w:rFonts w:ascii="Calibri" w:hAnsi="Calibri" w:cs="Calibri"/>
          <w:sz w:val="22"/>
          <w:szCs w:val="22"/>
        </w:rPr>
        <w:t xml:space="preserve"> </w:t>
      </w:r>
      <w:r w:rsidRPr="00063071">
        <w:rPr>
          <w:rFonts w:ascii="Calibri" w:hAnsi="Calibri" w:cs="Calibri"/>
          <w:sz w:val="22"/>
          <w:szCs w:val="22"/>
        </w:rPr>
        <w:t>κοινά</w:t>
      </w:r>
      <w:r w:rsidRPr="00B12AE4">
        <w:rPr>
          <w:rFonts w:ascii="Calibri" w:hAnsi="Calibri" w:cs="Calibri"/>
          <w:sz w:val="22"/>
          <w:szCs w:val="22"/>
        </w:rPr>
        <w:t xml:space="preserve"> </w:t>
      </w:r>
      <w:r w:rsidRPr="00063071">
        <w:rPr>
          <w:rFonts w:ascii="Calibri" w:hAnsi="Calibri" w:cs="Calibri"/>
          <w:sz w:val="22"/>
          <w:szCs w:val="22"/>
        </w:rPr>
        <w:t>κόστη</w:t>
      </w:r>
      <w:r w:rsidRPr="00B12AE4">
        <w:rPr>
          <w:rFonts w:ascii="Calibri" w:hAnsi="Calibri" w:cs="Calibri"/>
          <w:sz w:val="22"/>
          <w:szCs w:val="22"/>
        </w:rPr>
        <w:t xml:space="preserve"> </w:t>
      </w:r>
      <w:r w:rsidRPr="00063071">
        <w:rPr>
          <w:rFonts w:ascii="Calibri" w:hAnsi="Calibri" w:cs="Calibri"/>
          <w:sz w:val="22"/>
          <w:szCs w:val="22"/>
        </w:rPr>
        <w:t>(κόστος</w:t>
      </w:r>
      <w:r w:rsidRPr="00B12AE4">
        <w:rPr>
          <w:rFonts w:ascii="Calibri" w:hAnsi="Calibri" w:cs="Calibri"/>
          <w:sz w:val="22"/>
          <w:szCs w:val="22"/>
        </w:rPr>
        <w:t xml:space="preserve"> </w:t>
      </w:r>
      <w:r w:rsidRPr="00063071">
        <w:rPr>
          <w:rFonts w:ascii="Calibri" w:hAnsi="Calibri" w:cs="Calibri"/>
          <w:sz w:val="22"/>
          <w:szCs w:val="22"/>
        </w:rPr>
        <w:t>οχημάτων,</w:t>
      </w:r>
      <w:r w:rsidRPr="00B12AE4">
        <w:rPr>
          <w:rFonts w:ascii="Calibri" w:hAnsi="Calibri" w:cs="Calibri"/>
          <w:sz w:val="22"/>
          <w:szCs w:val="22"/>
        </w:rPr>
        <w:t xml:space="preserve"> </w:t>
      </w:r>
      <w:r w:rsidRPr="00063071">
        <w:rPr>
          <w:rFonts w:ascii="Calibri" w:hAnsi="Calibri" w:cs="Calibri"/>
          <w:sz w:val="22"/>
          <w:szCs w:val="22"/>
        </w:rPr>
        <w:t>κόστος</w:t>
      </w:r>
      <w:r w:rsidRPr="00B12AE4">
        <w:rPr>
          <w:rFonts w:ascii="Calibri" w:hAnsi="Calibri" w:cs="Calibri"/>
          <w:sz w:val="22"/>
          <w:szCs w:val="22"/>
        </w:rPr>
        <w:t xml:space="preserve"> </w:t>
      </w:r>
      <w:r w:rsidRPr="00063071">
        <w:rPr>
          <w:rFonts w:ascii="Calibri" w:hAnsi="Calibri" w:cs="Calibri"/>
          <w:sz w:val="22"/>
          <w:szCs w:val="22"/>
        </w:rPr>
        <w:t>ενοικίων,</w:t>
      </w:r>
      <w:r w:rsidRPr="00B12AE4">
        <w:rPr>
          <w:rFonts w:ascii="Calibri" w:hAnsi="Calibri" w:cs="Calibri"/>
          <w:sz w:val="22"/>
          <w:szCs w:val="22"/>
        </w:rPr>
        <w:t xml:space="preserve"> </w:t>
      </w:r>
      <w:r w:rsidRPr="00063071">
        <w:rPr>
          <w:rFonts w:ascii="Calibri" w:hAnsi="Calibri" w:cs="Calibri"/>
          <w:sz w:val="22"/>
          <w:szCs w:val="22"/>
        </w:rPr>
        <w:t>αύξηση</w:t>
      </w:r>
      <w:r w:rsidRPr="00B12AE4">
        <w:rPr>
          <w:rFonts w:ascii="Calibri" w:hAnsi="Calibri" w:cs="Calibri"/>
          <w:sz w:val="22"/>
          <w:szCs w:val="22"/>
        </w:rPr>
        <w:t xml:space="preserve"> </w:t>
      </w:r>
      <w:r w:rsidRPr="00063071">
        <w:rPr>
          <w:rFonts w:ascii="Calibri" w:hAnsi="Calibri" w:cs="Calibri"/>
          <w:sz w:val="22"/>
          <w:szCs w:val="22"/>
        </w:rPr>
        <w:t xml:space="preserve">κόστους </w:t>
      </w:r>
      <w:r w:rsidRPr="00B12AE4">
        <w:rPr>
          <w:rFonts w:ascii="Calibri" w:hAnsi="Calibri" w:cs="Calibri"/>
          <w:sz w:val="22"/>
          <w:szCs w:val="22"/>
        </w:rPr>
        <w:t>μισθοδοσίας).</w:t>
      </w:r>
    </w:p>
    <w:p w14:paraId="11BFB0A4" w14:textId="454A62FC" w:rsidR="00434B1A" w:rsidRPr="00466BC4" w:rsidRDefault="00434B1A" w:rsidP="00283F12">
      <w:pPr>
        <w:pStyle w:val="Default"/>
        <w:spacing w:before="140" w:after="120"/>
        <w:rPr>
          <w:rFonts w:asciiTheme="minorHAnsi" w:hAnsiTheme="minorHAnsi" w:cstheme="minorHAnsi"/>
          <w:bCs/>
          <w:sz w:val="22"/>
          <w:szCs w:val="22"/>
        </w:rPr>
      </w:pPr>
      <w:r w:rsidRPr="00466BC4">
        <w:rPr>
          <w:rFonts w:asciiTheme="minorHAnsi" w:hAnsiTheme="minorHAnsi" w:cstheme="minorHAnsi"/>
          <w:sz w:val="22"/>
          <w:szCs w:val="22"/>
        </w:rPr>
        <w:t xml:space="preserve">Ένας συμμετέχων </w:t>
      </w:r>
      <w:r w:rsidR="003C28FC">
        <w:rPr>
          <w:rFonts w:asciiTheme="minorHAnsi" w:hAnsiTheme="minorHAnsi" w:cstheme="minorHAnsi"/>
          <w:sz w:val="22"/>
          <w:szCs w:val="22"/>
        </w:rPr>
        <w:t>(----)</w:t>
      </w:r>
      <w:r w:rsidRPr="00466BC4">
        <w:rPr>
          <w:rFonts w:asciiTheme="minorHAnsi" w:hAnsiTheme="minorHAnsi" w:cstheme="minorHAnsi"/>
          <w:sz w:val="22"/>
          <w:szCs w:val="22"/>
        </w:rPr>
        <w:t xml:space="preserve"> </w:t>
      </w:r>
      <w:r>
        <w:rPr>
          <w:rFonts w:asciiTheme="minorHAnsi" w:hAnsiTheme="minorHAnsi" w:cstheme="minorHAnsi"/>
          <w:sz w:val="22"/>
          <w:szCs w:val="22"/>
        </w:rPr>
        <w:t xml:space="preserve">θεωρεί υψηλό το ποσοστό </w:t>
      </w:r>
      <w:r>
        <w:rPr>
          <w:rFonts w:asciiTheme="minorHAnsi" w:hAnsiTheme="minorHAnsi" w:cstheme="minorHAnsi"/>
          <w:sz w:val="22"/>
          <w:szCs w:val="22"/>
          <w:lang w:val="en-US"/>
        </w:rPr>
        <w:t>overheads</w:t>
      </w:r>
      <w:r w:rsidRPr="00434B1A">
        <w:rPr>
          <w:rFonts w:asciiTheme="minorHAnsi" w:hAnsiTheme="minorHAnsi" w:cstheme="minorHAnsi"/>
          <w:sz w:val="22"/>
          <w:szCs w:val="22"/>
        </w:rPr>
        <w:t xml:space="preserve">, </w:t>
      </w:r>
      <w:r w:rsidRPr="00466BC4">
        <w:rPr>
          <w:rFonts w:asciiTheme="minorHAnsi" w:hAnsiTheme="minorHAnsi" w:cstheme="minorHAnsi"/>
          <w:bCs/>
          <w:sz w:val="22"/>
          <w:szCs w:val="22"/>
        </w:rPr>
        <w:t>επισημαίνει ότι πρέπει να</w:t>
      </w:r>
      <w:r w:rsidRPr="00466BC4">
        <w:rPr>
          <w:rFonts w:asciiTheme="minorHAnsi" w:hAnsiTheme="minorHAnsi" w:cstheme="minorHAnsi"/>
          <w:sz w:val="22"/>
          <w:szCs w:val="22"/>
        </w:rPr>
        <w:t xml:space="preserve"> επανεξεταστεί</w:t>
      </w:r>
      <w:r w:rsidRPr="00466BC4">
        <w:rPr>
          <w:rFonts w:asciiTheme="minorHAnsi" w:hAnsiTheme="minorHAnsi" w:cstheme="minorHAnsi"/>
          <w:bCs/>
          <w:sz w:val="22"/>
          <w:szCs w:val="22"/>
        </w:rPr>
        <w:t>, λαμβάνοντας υπόψη καταλληλότερο δείγμα χωρών, άλλως να αιτιολογηθεί επαρκώς η καταλληλόλητα του επιλεγέντος δείγματος συμπεριλαμβανομένων των στοιχείων που προσκόμισε ο ΟΤΕ.</w:t>
      </w:r>
    </w:p>
    <w:p w14:paraId="77FBCBA0" w14:textId="5AB3B2A6" w:rsidR="00434B1A" w:rsidRPr="00CE42FB" w:rsidRDefault="00CE42FB" w:rsidP="00283F12">
      <w:pPr>
        <w:pStyle w:val="Default"/>
        <w:spacing w:before="140" w:after="120"/>
        <w:rPr>
          <w:rFonts w:asciiTheme="minorHAnsi" w:hAnsiTheme="minorHAnsi" w:cstheme="minorHAnsi"/>
          <w:bCs/>
          <w:sz w:val="22"/>
          <w:szCs w:val="22"/>
        </w:rPr>
      </w:pPr>
      <w:r w:rsidRPr="00CE42FB">
        <w:rPr>
          <w:rFonts w:asciiTheme="minorHAnsi" w:hAnsiTheme="minorHAnsi" w:cstheme="minorHAnsi"/>
          <w:bCs/>
          <w:sz w:val="22"/>
          <w:szCs w:val="22"/>
        </w:rPr>
        <w:t xml:space="preserve">Ένας συμμετέχων </w:t>
      </w:r>
      <w:r w:rsidR="003C28FC">
        <w:rPr>
          <w:rFonts w:asciiTheme="minorHAnsi" w:hAnsiTheme="minorHAnsi" w:cstheme="minorHAnsi"/>
          <w:bCs/>
          <w:sz w:val="22"/>
          <w:szCs w:val="22"/>
        </w:rPr>
        <w:t>(----)</w:t>
      </w:r>
      <w:r w:rsidRPr="00CE42FB">
        <w:rPr>
          <w:rFonts w:asciiTheme="minorHAnsi" w:hAnsiTheme="minorHAnsi" w:cstheme="minorHAnsi"/>
          <w:bCs/>
          <w:sz w:val="22"/>
          <w:szCs w:val="22"/>
        </w:rPr>
        <w:t xml:space="preserve"> θεωρεί υψηλό το ποσοστό </w:t>
      </w:r>
      <w:proofErr w:type="spellStart"/>
      <w:r w:rsidRPr="00CE42FB">
        <w:rPr>
          <w:rFonts w:asciiTheme="minorHAnsi" w:hAnsiTheme="minorHAnsi" w:cstheme="minorHAnsi"/>
          <w:bCs/>
          <w:sz w:val="22"/>
          <w:szCs w:val="22"/>
        </w:rPr>
        <w:t>overheads</w:t>
      </w:r>
      <w:proofErr w:type="spellEnd"/>
      <w:r w:rsidRPr="00CE42FB">
        <w:rPr>
          <w:rFonts w:asciiTheme="minorHAnsi" w:hAnsiTheme="minorHAnsi" w:cstheme="minorHAnsi"/>
          <w:bCs/>
          <w:sz w:val="22"/>
          <w:szCs w:val="22"/>
        </w:rPr>
        <w:t xml:space="preserve">, επισημαίνοντας ότι ήδη το μοντέλο προβλέπει ξεχωριστά επιμέρους κόστη για πληροφοριακά συστήματα, όπως τα συστήματα διαχείρισης δικτύου, παροχής υπηρεσιών και διαθεσιμότητας. Εφόσον τα κόστη αυτά θεωρούνται μέρος των γενικών εξόδων, η ενσωμάτωσή τους στα </w:t>
      </w:r>
      <w:proofErr w:type="spellStart"/>
      <w:r w:rsidRPr="00CE42FB">
        <w:rPr>
          <w:rFonts w:asciiTheme="minorHAnsi" w:hAnsiTheme="minorHAnsi" w:cstheme="minorHAnsi"/>
          <w:bCs/>
          <w:sz w:val="22"/>
          <w:szCs w:val="22"/>
        </w:rPr>
        <w:t>overheads</w:t>
      </w:r>
      <w:proofErr w:type="spellEnd"/>
      <w:r w:rsidRPr="00CE42FB">
        <w:rPr>
          <w:rFonts w:asciiTheme="minorHAnsi" w:hAnsiTheme="minorHAnsi" w:cstheme="minorHAnsi"/>
          <w:bCs/>
          <w:sz w:val="22"/>
          <w:szCs w:val="22"/>
        </w:rPr>
        <w:t xml:space="preserve"> θα οδηγούσε σε συνολική επιβάρυνση περίπου 13,4%</w:t>
      </w:r>
      <w:r>
        <w:rPr>
          <w:rFonts w:asciiTheme="minorHAnsi" w:hAnsiTheme="minorHAnsi" w:cstheme="minorHAnsi"/>
          <w:bCs/>
          <w:sz w:val="22"/>
          <w:szCs w:val="22"/>
        </w:rPr>
        <w:t xml:space="preserve">, οπότε προτείνει τη μείωση του ποσοστού </w:t>
      </w:r>
      <w:r>
        <w:rPr>
          <w:rFonts w:asciiTheme="minorHAnsi" w:hAnsiTheme="minorHAnsi" w:cstheme="minorHAnsi"/>
          <w:bCs/>
          <w:sz w:val="22"/>
          <w:szCs w:val="22"/>
          <w:lang w:val="en-US"/>
        </w:rPr>
        <w:t>overheads</w:t>
      </w:r>
      <w:r>
        <w:rPr>
          <w:rFonts w:asciiTheme="minorHAnsi" w:hAnsiTheme="minorHAnsi" w:cstheme="minorHAnsi"/>
          <w:bCs/>
          <w:sz w:val="22"/>
          <w:szCs w:val="22"/>
        </w:rPr>
        <w:t xml:space="preserve"> σε 6,3</w:t>
      </w:r>
      <w:r w:rsidR="00283F12">
        <w:rPr>
          <w:rFonts w:asciiTheme="minorHAnsi" w:hAnsiTheme="minorHAnsi" w:cstheme="minorHAnsi"/>
          <w:bCs/>
          <w:sz w:val="22"/>
          <w:szCs w:val="22"/>
        </w:rPr>
        <w:t xml:space="preserve">% ώστε </w:t>
      </w:r>
      <w:r w:rsidR="00283F12" w:rsidRPr="00283F12">
        <w:rPr>
          <w:rFonts w:asciiTheme="minorHAnsi" w:hAnsiTheme="minorHAnsi" w:cstheme="minorHAnsi"/>
          <w:bCs/>
          <w:sz w:val="22"/>
          <w:szCs w:val="22"/>
        </w:rPr>
        <w:t xml:space="preserve">μαζί με τα κόστη των πληροφοριακών συστημάτων να </w:t>
      </w:r>
      <w:r w:rsidR="00283F12">
        <w:rPr>
          <w:rFonts w:asciiTheme="minorHAnsi" w:hAnsiTheme="minorHAnsi" w:cstheme="minorHAnsi"/>
          <w:bCs/>
          <w:sz w:val="22"/>
          <w:szCs w:val="22"/>
        </w:rPr>
        <w:t>αντιστοιχεί</w:t>
      </w:r>
      <w:r w:rsidR="00283F12" w:rsidRPr="00283F12">
        <w:rPr>
          <w:rFonts w:asciiTheme="minorHAnsi" w:hAnsiTheme="minorHAnsi" w:cstheme="minorHAnsi"/>
          <w:bCs/>
          <w:sz w:val="22"/>
          <w:szCs w:val="22"/>
        </w:rPr>
        <w:t xml:space="preserve"> </w:t>
      </w:r>
      <w:r w:rsidR="00283F12">
        <w:rPr>
          <w:rFonts w:asciiTheme="minorHAnsi" w:hAnsiTheme="minorHAnsi" w:cstheme="minorHAnsi"/>
          <w:bCs/>
          <w:sz w:val="22"/>
          <w:szCs w:val="22"/>
        </w:rPr>
        <w:t>στο 10%</w:t>
      </w:r>
      <w:r w:rsidR="00283F12" w:rsidRPr="00283F12">
        <w:rPr>
          <w:rFonts w:asciiTheme="minorHAnsi" w:hAnsiTheme="minorHAnsi" w:cstheme="minorHAnsi"/>
          <w:bCs/>
          <w:sz w:val="22"/>
          <w:szCs w:val="22"/>
        </w:rPr>
        <w:t xml:space="preserve"> επί του ετησιοποιημένου κόστους του δικτύου</w:t>
      </w:r>
      <w:r w:rsidR="00283F12">
        <w:rPr>
          <w:rFonts w:asciiTheme="minorHAnsi" w:hAnsiTheme="minorHAnsi" w:cstheme="minorHAnsi"/>
          <w:bCs/>
          <w:sz w:val="22"/>
          <w:szCs w:val="22"/>
        </w:rPr>
        <w:t xml:space="preserve">. </w:t>
      </w:r>
      <w:r w:rsidR="00283F12" w:rsidRPr="00283F12">
        <w:rPr>
          <w:rFonts w:asciiTheme="minorHAnsi" w:hAnsiTheme="minorHAnsi" w:cstheme="minorHAnsi"/>
          <w:bCs/>
          <w:sz w:val="22"/>
          <w:szCs w:val="22"/>
        </w:rPr>
        <w:t xml:space="preserve">Επιπλέον, επισημαίνει ότι τα μοντέλα κόστους χωρών όπως η Σερβία και η Ελβετία, που χρησιμοποιούνται </w:t>
      </w:r>
      <w:r w:rsidR="00283F12">
        <w:rPr>
          <w:rFonts w:asciiTheme="minorHAnsi" w:hAnsiTheme="minorHAnsi" w:cstheme="minorHAnsi"/>
          <w:bCs/>
          <w:sz w:val="22"/>
          <w:szCs w:val="22"/>
        </w:rPr>
        <w:t>στη μεθοδολογία συγκριτικής ανάλυσης</w:t>
      </w:r>
      <w:r w:rsidR="00283F12" w:rsidRPr="00283F12">
        <w:rPr>
          <w:rFonts w:asciiTheme="minorHAnsi" w:hAnsiTheme="minorHAnsi" w:cstheme="minorHAnsi"/>
          <w:bCs/>
          <w:sz w:val="22"/>
          <w:szCs w:val="22"/>
        </w:rPr>
        <w:t>, δεν πρέπει να θεωρούνται άμεσα συγκρίσιμα, καθώς δεν ανήκουν στην Ε.Ε. και δεν υπόκεινται στους ίδιους κανονισμούς εποπτείας, γεγονός που μπορεί να οδηγεί σε αποκλίσεις από τις ευρωπαϊκές βέλτιστες πρακτικές.</w:t>
      </w:r>
    </w:p>
    <w:p w14:paraId="357E734A"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4F19A55D" w14:textId="74359BDA"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320AAE">
        <w:rPr>
          <w:rFonts w:ascii="Calibri" w:hAnsi="Calibri" w:cs="Calibri"/>
          <w:b/>
          <w:color w:val="1F4E79" w:themeColor="accent1" w:themeShade="80"/>
          <w:sz w:val="22"/>
          <w:szCs w:val="22"/>
          <w:u w:val="single"/>
        </w:rPr>
        <w:t>14</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7E2A2592" w14:textId="2CCB541C" w:rsidR="00320AAE" w:rsidRDefault="00320AAE" w:rsidP="00283F12">
      <w:pPr>
        <w:pStyle w:val="Default"/>
        <w:spacing w:before="140" w:after="120"/>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Αναφορικά με τα σχόλια συμμετεχόντων για το ύψος του ποσοστού των </w:t>
      </w:r>
      <w:r>
        <w:rPr>
          <w:rFonts w:ascii="Calibri" w:hAnsi="Calibri" w:cs="Calibri"/>
          <w:color w:val="1F4E79" w:themeColor="accent1" w:themeShade="80"/>
          <w:sz w:val="22"/>
          <w:szCs w:val="22"/>
          <w:lang w:val="en-US"/>
        </w:rPr>
        <w:t>overheads</w:t>
      </w:r>
      <w:r w:rsidRPr="00320AA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η ΕΕΤΤ σημειώνει ότι το ποσοστό προέκυψε από το Ευρωπαϊκό </w:t>
      </w:r>
      <w:r>
        <w:rPr>
          <w:rFonts w:ascii="Calibri" w:hAnsi="Calibri" w:cs="Calibri"/>
          <w:color w:val="1F4E79" w:themeColor="accent1" w:themeShade="80"/>
          <w:sz w:val="22"/>
          <w:szCs w:val="22"/>
          <w:lang w:val="en-US"/>
        </w:rPr>
        <w:t>benchmarking</w:t>
      </w:r>
      <w:r w:rsidRPr="00320AA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κατά το οποίο ερωτήθηκαν ρυθμιστικές αρχές για τα κοινά κόστη σύμφωνα με τη μεθοδολογία </w:t>
      </w:r>
      <w:r>
        <w:rPr>
          <w:rFonts w:ascii="Calibri" w:hAnsi="Calibri" w:cs="Calibri"/>
          <w:color w:val="1F4E79" w:themeColor="accent1" w:themeShade="80"/>
          <w:sz w:val="22"/>
          <w:szCs w:val="22"/>
          <w:lang w:val="en-US"/>
        </w:rPr>
        <w:t>EPMU</w:t>
      </w:r>
      <w:r w:rsidRPr="00320AA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του </w:t>
      </w:r>
      <w:r>
        <w:rPr>
          <w:rFonts w:ascii="Calibri" w:hAnsi="Calibri" w:cs="Calibri"/>
          <w:color w:val="1F4E79" w:themeColor="accent1" w:themeShade="80"/>
          <w:sz w:val="22"/>
          <w:szCs w:val="22"/>
          <w:lang w:val="en-US"/>
        </w:rPr>
        <w:t>NGA</w:t>
      </w:r>
      <w:r w:rsidRPr="00320AA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BU</w:t>
      </w:r>
      <w:r w:rsidRPr="00320AA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LRIC</w:t>
      </w:r>
      <w:r w:rsidRPr="00320AAE">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της ΕΕΤΤ.</w:t>
      </w:r>
      <w:r w:rsidRPr="00320AA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Επομένως, η ΕΕΤΤ κρίνει ότι δεν τίθεται θέμα </w:t>
      </w:r>
      <w:proofErr w:type="spellStart"/>
      <w:r>
        <w:rPr>
          <w:rFonts w:ascii="Calibri" w:hAnsi="Calibri" w:cs="Calibri"/>
          <w:color w:val="1F4E79" w:themeColor="accent1" w:themeShade="80"/>
          <w:sz w:val="22"/>
          <w:szCs w:val="22"/>
        </w:rPr>
        <w:t>διπλομέτρησης</w:t>
      </w:r>
      <w:proofErr w:type="spellEnd"/>
      <w:r>
        <w:rPr>
          <w:rFonts w:ascii="Calibri" w:hAnsi="Calibri" w:cs="Calibri"/>
          <w:color w:val="1F4E79" w:themeColor="accent1" w:themeShade="80"/>
          <w:sz w:val="22"/>
          <w:szCs w:val="22"/>
        </w:rPr>
        <w:t xml:space="preserve"> με δικτυακά στοιχεία όπως τα </w:t>
      </w:r>
      <w:r>
        <w:rPr>
          <w:rFonts w:ascii="Calibri" w:hAnsi="Calibri" w:cs="Calibri"/>
          <w:color w:val="1F4E79" w:themeColor="accent1" w:themeShade="80"/>
          <w:sz w:val="22"/>
          <w:szCs w:val="22"/>
          <w:lang w:val="en-US"/>
        </w:rPr>
        <w:t>IT</w:t>
      </w:r>
      <w:r w:rsidRPr="00320AA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συστήματα</w:t>
      </w:r>
      <w:r w:rsidR="00F10F31">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που αφορούν τα άμεσα κόστη των συστημάτων</w:t>
      </w:r>
      <w:r w:rsidR="00F10F31">
        <w:rPr>
          <w:rFonts w:ascii="Calibri" w:hAnsi="Calibri" w:cs="Calibri"/>
          <w:color w:val="1F4E79" w:themeColor="accent1" w:themeShade="80"/>
          <w:sz w:val="22"/>
          <w:szCs w:val="22"/>
        </w:rPr>
        <w:t xml:space="preserve"> του μοντέλου</w:t>
      </w:r>
      <w:r>
        <w:rPr>
          <w:rFonts w:ascii="Calibri" w:hAnsi="Calibri" w:cs="Calibri"/>
          <w:color w:val="1F4E79" w:themeColor="accent1" w:themeShade="80"/>
          <w:sz w:val="22"/>
          <w:szCs w:val="22"/>
        </w:rPr>
        <w:t>. Επίσης, η ΕΕΤΤ θεωρεί σκόπιμη τη χρήση όλων των διαθέσιμων στοιχείων και όχι την επιλογή συγκεκριμένων χωρών, καθώς η αποδοτικότητα του μοντελοποιημένου παρόχου δεν αναμένεται να εξαρτάται έντονα από τα γεωγραφικά ή άλλα μεμονωμένα χαρακτηριστικά μίας χώρας</w:t>
      </w:r>
      <w:r w:rsidR="003B438D">
        <w:rPr>
          <w:rFonts w:ascii="Calibri" w:hAnsi="Calibri" w:cs="Calibri"/>
          <w:color w:val="1F4E79" w:themeColor="accent1" w:themeShade="80"/>
          <w:sz w:val="22"/>
          <w:szCs w:val="22"/>
        </w:rPr>
        <w:t>. Σε αυτό το πλαίσιο, επιβεβαιώνεται ότι η ΕΕΤΤ έχει λάβει υπόψη όλα τα διαθέσιμα στοιχεία που αφορούν και τους ελληνικούς παρόχους. Επισημαίνεται επίσης ότι δεν παρατηρήθηκαν σημαντικές διαφοροποιήσεις στο τελικό αποτέλεσμα</w:t>
      </w:r>
      <w:r w:rsidR="00F10F31">
        <w:rPr>
          <w:rFonts w:ascii="Calibri" w:hAnsi="Calibri" w:cs="Calibri"/>
          <w:color w:val="1F4E79" w:themeColor="accent1" w:themeShade="80"/>
          <w:sz w:val="22"/>
          <w:szCs w:val="22"/>
        </w:rPr>
        <w:t xml:space="preserve"> της ανάλυσης,</w:t>
      </w:r>
      <w:r w:rsidR="003B438D">
        <w:rPr>
          <w:rFonts w:ascii="Calibri" w:hAnsi="Calibri" w:cs="Calibri"/>
          <w:color w:val="1F4E79" w:themeColor="accent1" w:themeShade="80"/>
          <w:sz w:val="22"/>
          <w:szCs w:val="22"/>
        </w:rPr>
        <w:t xml:space="preserve"> το οποίο είναι συμβατό και με τις διεθνείς συγκριτικές μελέτες και αναφορές για το μέσο </w:t>
      </w:r>
      <w:r w:rsidR="003B438D">
        <w:rPr>
          <w:rFonts w:ascii="Calibri" w:hAnsi="Calibri" w:cs="Calibri"/>
          <w:color w:val="1F4E79" w:themeColor="accent1" w:themeShade="80"/>
          <w:sz w:val="22"/>
          <w:szCs w:val="22"/>
          <w:lang w:val="en-US"/>
        </w:rPr>
        <w:t>EPMU</w:t>
      </w:r>
      <w:r w:rsidR="003B438D" w:rsidRPr="003B438D">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w:t>
      </w:r>
    </w:p>
    <w:p w14:paraId="6D954EFD" w14:textId="5792B707" w:rsidR="00320AAE" w:rsidRDefault="003B438D" w:rsidP="00283F12">
      <w:pPr>
        <w:pStyle w:val="Default"/>
        <w:spacing w:before="140" w:after="120"/>
        <w:rPr>
          <w:rFonts w:asciiTheme="minorHAnsi" w:hAnsiTheme="minorHAnsi" w:cstheme="minorHAnsi"/>
          <w:bCs/>
          <w:sz w:val="22"/>
          <w:szCs w:val="22"/>
        </w:rPr>
      </w:pPr>
      <w:r>
        <w:rPr>
          <w:rFonts w:ascii="Calibri" w:hAnsi="Calibri" w:cs="Calibri"/>
          <w:color w:val="1F4E79" w:themeColor="accent1" w:themeShade="80"/>
          <w:sz w:val="22"/>
          <w:szCs w:val="22"/>
        </w:rPr>
        <w:t xml:space="preserve">Ως εκ τούτου, η ΕΕΤΤ εμμένει στη θέση της για τη χρήση του συγκεκριμένου ποσοστού για τη μεθοδολογία </w:t>
      </w:r>
      <w:r>
        <w:rPr>
          <w:rFonts w:ascii="Calibri" w:hAnsi="Calibri" w:cs="Calibri"/>
          <w:color w:val="1F4E79" w:themeColor="accent1" w:themeShade="80"/>
          <w:sz w:val="22"/>
          <w:szCs w:val="22"/>
          <w:lang w:val="en-US"/>
        </w:rPr>
        <w:t>EPMU</w:t>
      </w:r>
      <w:r w:rsidRPr="003B438D">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που έχει επιλεγεί και εφαρμόζεται και σε άλλα ευρωπαϊκά ρυθμιστικά μοντέλα.</w:t>
      </w:r>
    </w:p>
    <w:p w14:paraId="0128155B" w14:textId="77777777" w:rsidR="00320AAE" w:rsidRPr="00283F12" w:rsidRDefault="00320AAE" w:rsidP="00283F12">
      <w:pPr>
        <w:pStyle w:val="Default"/>
        <w:spacing w:before="140" w:after="120"/>
        <w:rPr>
          <w:rFonts w:asciiTheme="minorHAnsi" w:hAnsiTheme="minorHAnsi" w:cstheme="minorHAnsi"/>
          <w:bCs/>
          <w:sz w:val="22"/>
          <w:szCs w:val="22"/>
        </w:rPr>
      </w:pPr>
    </w:p>
    <w:p w14:paraId="7A31F78E" w14:textId="60D5BD16" w:rsidR="002D6077" w:rsidRPr="002C406D" w:rsidRDefault="002C406D" w:rsidP="00392B3A">
      <w:pPr>
        <w:pStyle w:val="2"/>
        <w:keepNext w:val="0"/>
        <w:widowControl w:val="0"/>
        <w:numPr>
          <w:ilvl w:val="1"/>
          <w:numId w:val="6"/>
        </w:numPr>
        <w:tabs>
          <w:tab w:val="left" w:pos="720"/>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lang w:val="en-US"/>
        </w:rPr>
        <w:t>WACC</w:t>
      </w:r>
    </w:p>
    <w:p w14:paraId="69CFE11D" w14:textId="4348689B" w:rsidR="00842786" w:rsidRDefault="002D6077" w:rsidP="00B12AE4">
      <w:pPr>
        <w:pStyle w:val="ab"/>
        <w:spacing w:before="143" w:line="259" w:lineRule="auto"/>
        <w:ind w:right="136"/>
        <w:rPr>
          <w:rFonts w:ascii="Calibri" w:hAnsi="Calibri" w:cs="Calibri"/>
          <w:sz w:val="22"/>
          <w:szCs w:val="22"/>
        </w:rPr>
      </w:pPr>
      <w:r>
        <w:rPr>
          <w:rFonts w:ascii="Calibri" w:hAnsi="Calibri" w:cs="Calibri"/>
          <w:sz w:val="22"/>
          <w:szCs w:val="22"/>
        </w:rPr>
        <w:t xml:space="preserve">Ένας πάροχος </w:t>
      </w:r>
      <w:r w:rsidR="003C28FC">
        <w:rPr>
          <w:rFonts w:ascii="Calibri" w:hAnsi="Calibri" w:cs="Calibri"/>
          <w:sz w:val="22"/>
          <w:szCs w:val="22"/>
        </w:rPr>
        <w:t>(----)</w:t>
      </w:r>
      <w:r>
        <w:rPr>
          <w:rFonts w:ascii="Calibri" w:hAnsi="Calibri" w:cs="Calibri"/>
          <w:sz w:val="22"/>
          <w:szCs w:val="22"/>
        </w:rPr>
        <w:t xml:space="preserve"> διαφωνεί με </w:t>
      </w:r>
      <w:r w:rsidRPr="00842786">
        <w:rPr>
          <w:rFonts w:ascii="Calibri" w:hAnsi="Calibri" w:cs="Calibri"/>
          <w:sz w:val="22"/>
          <w:szCs w:val="22"/>
        </w:rPr>
        <w:t xml:space="preserve">το ποσοστό </w:t>
      </w:r>
      <w:r>
        <w:rPr>
          <w:rFonts w:ascii="Calibri" w:hAnsi="Calibri" w:cs="Calibri"/>
          <w:sz w:val="22"/>
          <w:szCs w:val="22"/>
        </w:rPr>
        <w:t xml:space="preserve">επιτοκίου μηδενικού κινδύνου που χρησιμοποιεί η ΕΕΤΤ στους υπολογισμούς της, 2,70%, το οποίο υποεκτιμά </w:t>
      </w:r>
      <w:r w:rsidRPr="002C406D">
        <w:rPr>
          <w:rFonts w:ascii="Calibri" w:hAnsi="Calibri" w:cs="Calibri"/>
          <w:sz w:val="22"/>
          <w:szCs w:val="22"/>
        </w:rPr>
        <w:t xml:space="preserve">και δεν αντανακλά τις πραγματικές μακροοικονομικές συνθήκες της χώρας σήμερα, αναφέροντας </w:t>
      </w:r>
      <w:r w:rsidRPr="002C406D">
        <w:rPr>
          <w:rFonts w:ascii="Calibri" w:hAnsi="Calibri" w:cs="Calibri"/>
          <w:sz w:val="22"/>
          <w:szCs w:val="22"/>
        </w:rPr>
        <w:lastRenderedPageBreak/>
        <w:t>ότι σύμφωνα με τα πλέον πρόσφατα στοιχεία του 2025 η απόδοση του δεκαετούς κρατικού ομολόγου εκτιμάται σήμερα ως 3,37%. Αντ’ αυτού προτείνει να χρησιμοποιηθεί για τον υπολογισμό του WACC η μεθοδολογία της ΑΠ ΕΕΤΤ 1107/1/2024 με τη χρήση συντελεστών βαρύτητας</w:t>
      </w:r>
      <w:r w:rsidR="002C406D" w:rsidRPr="002C406D">
        <w:rPr>
          <w:rFonts w:ascii="Calibri" w:hAnsi="Calibri" w:cs="Calibri"/>
          <w:sz w:val="22"/>
          <w:szCs w:val="22"/>
        </w:rPr>
        <w:t xml:space="preserve"> για το επιτόκιο μηδενικού κινδύνου, υπολογίζοντας το τελικό ποσοστό WACC σε 7,09%. Επιπρόσθετα, αναφορικά με το </w:t>
      </w:r>
      <w:proofErr w:type="spellStart"/>
      <w:r w:rsidR="002C406D" w:rsidRPr="002C406D">
        <w:rPr>
          <w:rFonts w:ascii="Calibri" w:hAnsi="Calibri" w:cs="Calibri"/>
          <w:sz w:val="22"/>
          <w:szCs w:val="22"/>
        </w:rPr>
        <w:t>risk</w:t>
      </w:r>
      <w:proofErr w:type="spellEnd"/>
      <w:r w:rsidR="002C406D" w:rsidRPr="002C406D">
        <w:rPr>
          <w:rFonts w:ascii="Calibri" w:hAnsi="Calibri" w:cs="Calibri"/>
          <w:sz w:val="22"/>
          <w:szCs w:val="22"/>
        </w:rPr>
        <w:t xml:space="preserve"> </w:t>
      </w:r>
      <w:proofErr w:type="spellStart"/>
      <w:r w:rsidR="002C406D" w:rsidRPr="002C406D">
        <w:rPr>
          <w:rFonts w:ascii="Calibri" w:hAnsi="Calibri" w:cs="Calibri"/>
          <w:sz w:val="22"/>
          <w:szCs w:val="22"/>
        </w:rPr>
        <w:t>premium</w:t>
      </w:r>
      <w:proofErr w:type="spellEnd"/>
      <w:r w:rsidR="002C406D" w:rsidRPr="002C406D">
        <w:rPr>
          <w:rFonts w:ascii="Calibri" w:hAnsi="Calibri" w:cs="Calibri"/>
          <w:sz w:val="22"/>
          <w:szCs w:val="22"/>
        </w:rPr>
        <w:t xml:space="preserve"> προτείνει το ποσοστό 1,98%, εξαιρώντας τις περιπτώσεις αρχικού υπολογισμού (Πολωνία, Σλοβενία), ως «οριακά ικανοποιητικό» για τη στήριξη νέων επενδύσεων σε δίκτυα οπτικών ινών.</w:t>
      </w:r>
    </w:p>
    <w:p w14:paraId="162F84AF" w14:textId="708D7720" w:rsidR="00DE384E" w:rsidRPr="00DE384E" w:rsidRDefault="00DE384E" w:rsidP="00DE384E">
      <w:pPr>
        <w:pStyle w:val="ab"/>
        <w:spacing w:before="143" w:line="259" w:lineRule="auto"/>
        <w:ind w:right="136"/>
        <w:rPr>
          <w:rFonts w:ascii="Calibri" w:hAnsi="Calibri" w:cs="Calibri"/>
          <w:sz w:val="22"/>
          <w:szCs w:val="22"/>
        </w:rPr>
      </w:pPr>
      <w:r w:rsidRPr="00DE384E">
        <w:rPr>
          <w:rFonts w:ascii="Calibri" w:hAnsi="Calibri" w:cs="Calibri"/>
          <w:sz w:val="22"/>
          <w:szCs w:val="22"/>
        </w:rPr>
        <w:t xml:space="preserve">Ένας συμμετέχων </w:t>
      </w:r>
      <w:r w:rsidR="003C28FC">
        <w:rPr>
          <w:rFonts w:ascii="Calibri" w:hAnsi="Calibri" w:cs="Calibri"/>
          <w:sz w:val="22"/>
          <w:szCs w:val="22"/>
        </w:rPr>
        <w:t>(----)</w:t>
      </w:r>
      <w:r w:rsidRPr="00DE384E">
        <w:rPr>
          <w:rFonts w:ascii="Calibri" w:hAnsi="Calibri" w:cs="Calibri"/>
          <w:sz w:val="22"/>
          <w:szCs w:val="22"/>
        </w:rPr>
        <w:t xml:space="preserve"> διαφωνεί με την εφαρμογή ασφάλιστρου κινδύνου για την ανάπτυξη του FTTH δεδομένου ότι πρέπει να εφαρμοστεί μόνο εφόσον υφίστανται παράγοντες αβεβαιότητας στις επενδύσεις σε VHCN δίκτυα σύμφωνα με τις προϋποθέσεις του Ευρωπαϊκού πλαισίου. Στην περίπτωση που αποδειχτεί από την ΕΕΤΤ ότι πληρούνται οι εν λόγω προϋποθέσεις, η ΕΕΤΤ θα πρέπει να εφαρμόσει τα κατάλληλα benchmarks για να υπολογίσει το ύψος του ασφαλίστρου κινδύνου. Σημειώνεται ότι ελάχιστες χώρες έχουν εφαρμόσει πραγματικά ένα VHCN </w:t>
      </w:r>
      <w:proofErr w:type="spellStart"/>
      <w:r w:rsidRPr="00DE384E">
        <w:rPr>
          <w:rFonts w:ascii="Calibri" w:hAnsi="Calibri" w:cs="Calibri"/>
          <w:sz w:val="22"/>
          <w:szCs w:val="22"/>
        </w:rPr>
        <w:t>risk</w:t>
      </w:r>
      <w:proofErr w:type="spellEnd"/>
      <w:r w:rsidRPr="00DE384E">
        <w:rPr>
          <w:rFonts w:ascii="Calibri" w:hAnsi="Calibri" w:cs="Calibri"/>
          <w:sz w:val="22"/>
          <w:szCs w:val="22"/>
        </w:rPr>
        <w:t xml:space="preserve"> </w:t>
      </w:r>
      <w:proofErr w:type="spellStart"/>
      <w:r w:rsidRPr="00DE384E">
        <w:rPr>
          <w:rFonts w:ascii="Calibri" w:hAnsi="Calibri" w:cs="Calibri"/>
          <w:sz w:val="22"/>
          <w:szCs w:val="22"/>
        </w:rPr>
        <w:t>premium</w:t>
      </w:r>
      <w:proofErr w:type="spellEnd"/>
      <w:r w:rsidRPr="00DE384E">
        <w:rPr>
          <w:rFonts w:ascii="Calibri" w:hAnsi="Calibri" w:cs="Calibri"/>
          <w:sz w:val="22"/>
          <w:szCs w:val="22"/>
        </w:rPr>
        <w:t xml:space="preserve">. Υπό αμφισβήτηση θα πρέπει να τεθεί επίσης και η συμπερίληψη της περίπτωσης εφαρμογής του ασφαλίστρου κινδύνου που σχετίζεται με τις υπηρεσίες πρόσβασης σε παθητική υποδομή PIA ως μη σχετικής με τις υπό κρίση υπηρεσίες χονδρικής. </w:t>
      </w:r>
      <w:r>
        <w:rPr>
          <w:rFonts w:ascii="Calibri" w:hAnsi="Calibri" w:cs="Calibri"/>
          <w:sz w:val="22"/>
          <w:szCs w:val="22"/>
        </w:rPr>
        <w:t>Τ</w:t>
      </w:r>
      <w:r w:rsidRPr="00DE384E">
        <w:rPr>
          <w:rFonts w:ascii="Calibri" w:hAnsi="Calibri" w:cs="Calibri"/>
          <w:sz w:val="22"/>
          <w:szCs w:val="22"/>
        </w:rPr>
        <w:t xml:space="preserve">έλος, θα πρέπει να συνυπολογιστεί ότι η ΕΕΤΤ έχει ήδη λάβει υπόψη στο μοντέλο την άσκηση «ανταγωνιστικής πίεσης» στον αποδοτικό πάροχο, </w:t>
      </w:r>
      <w:proofErr w:type="spellStart"/>
      <w:r w:rsidRPr="00DE384E">
        <w:rPr>
          <w:rFonts w:ascii="Calibri" w:hAnsi="Calibri" w:cs="Calibri"/>
          <w:sz w:val="22"/>
          <w:szCs w:val="22"/>
        </w:rPr>
        <w:t>απομειώνοντας</w:t>
      </w:r>
      <w:proofErr w:type="spellEnd"/>
      <w:r w:rsidRPr="00DE384E">
        <w:rPr>
          <w:rFonts w:ascii="Calibri" w:hAnsi="Calibri" w:cs="Calibri"/>
          <w:sz w:val="22"/>
          <w:szCs w:val="22"/>
        </w:rPr>
        <w:t xml:space="preserve"> το μερίδιο του στην αγοράς χονδρικής πρόσβασης, αυξάνοντας με τον τρόπο αυτό τεχνητά τις τιμές των υπηρεσιών χονδρικής.</w:t>
      </w:r>
    </w:p>
    <w:p w14:paraId="47A8FA19"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388F6D52" w14:textId="09127BB6"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3B438D">
        <w:rPr>
          <w:rFonts w:ascii="Calibri" w:hAnsi="Calibri" w:cs="Calibri"/>
          <w:b/>
          <w:color w:val="1F4E79" w:themeColor="accent1" w:themeShade="80"/>
          <w:sz w:val="22"/>
          <w:szCs w:val="22"/>
          <w:u w:val="single"/>
        </w:rPr>
        <w:t>15</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7232B7A0" w14:textId="0F667364" w:rsidR="00DE384E" w:rsidRDefault="003B438D" w:rsidP="00B12AE4">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Η ΕΕΤΤ εμμένει στη θέση της για τη χρήση της μεθοδολογίας του </w:t>
      </w:r>
      <w:r>
        <w:rPr>
          <w:rFonts w:ascii="Calibri" w:hAnsi="Calibri" w:cs="Calibri"/>
          <w:color w:val="1F4E79" w:themeColor="accent1" w:themeShade="80"/>
          <w:sz w:val="22"/>
          <w:szCs w:val="22"/>
          <w:lang w:val="en-US"/>
        </w:rPr>
        <w:t>BEREC</w:t>
      </w:r>
      <w:r w:rsidRPr="003B438D">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για τον υπολογισμό του </w:t>
      </w:r>
      <w:r>
        <w:rPr>
          <w:rFonts w:ascii="Calibri" w:hAnsi="Calibri" w:cs="Calibri"/>
          <w:color w:val="1F4E79" w:themeColor="accent1" w:themeShade="80"/>
          <w:sz w:val="22"/>
          <w:szCs w:val="22"/>
          <w:lang w:val="en-US"/>
        </w:rPr>
        <w:t>WACC</w:t>
      </w:r>
      <w:r w:rsidRPr="003B438D">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και τη χρήση των αντίστοιχων στοιχείων και παραμέτρων που είναι συμβατά και με την προτεινόμενη μέθοδο από τη Ευρωπαϊκή Επιτροπή.</w:t>
      </w:r>
    </w:p>
    <w:p w14:paraId="2749B698" w14:textId="68658629" w:rsidR="00BD7E37" w:rsidRDefault="003B438D" w:rsidP="00B12AE4">
      <w:pPr>
        <w:pStyle w:val="ab"/>
        <w:spacing w:before="143" w:line="259" w:lineRule="auto"/>
        <w:ind w:right="136"/>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Αναφορικά με το </w:t>
      </w:r>
      <w:r>
        <w:rPr>
          <w:rFonts w:ascii="Calibri" w:hAnsi="Calibri" w:cs="Calibri"/>
          <w:color w:val="1F4E79" w:themeColor="accent1" w:themeShade="80"/>
          <w:sz w:val="22"/>
          <w:szCs w:val="22"/>
          <w:lang w:val="en-US"/>
        </w:rPr>
        <w:t>benchmarking</w:t>
      </w:r>
      <w:r w:rsidRPr="003B438D">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για το ασφάλιστρο</w:t>
      </w:r>
      <w:r w:rsidRPr="003B438D">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κινδύνου, η ΕΕΤΤ κρίνει ότι δεν είναι εύλογη η εξαίρεση</w:t>
      </w:r>
      <w:r w:rsidR="00BD7E37">
        <w:rPr>
          <w:rFonts w:ascii="Calibri" w:hAnsi="Calibri" w:cs="Calibri"/>
          <w:color w:val="1F4E79" w:themeColor="accent1" w:themeShade="80"/>
          <w:sz w:val="22"/>
          <w:szCs w:val="22"/>
        </w:rPr>
        <w:t xml:space="preserve"> ή επιλογή συγκεκριμένων χωρών, καθώς τα ποσοστά που συμπεριλαμβάνονται είναι ως επί το πλείστον αντιπροσωπευτικά της Ελλάδας στην αρχή διείσδυσής </w:t>
      </w:r>
      <w:r w:rsidR="00BD7E37">
        <w:rPr>
          <w:rFonts w:ascii="Calibri" w:hAnsi="Calibri" w:cs="Calibri"/>
          <w:color w:val="1F4E79" w:themeColor="accent1" w:themeShade="80"/>
          <w:sz w:val="22"/>
          <w:szCs w:val="22"/>
          <w:lang w:val="en-US"/>
        </w:rPr>
        <w:t>FTTH</w:t>
      </w:r>
      <w:r w:rsidR="00BD7E37" w:rsidRPr="00BD7E37">
        <w:rPr>
          <w:rFonts w:ascii="Calibri" w:hAnsi="Calibri" w:cs="Calibri"/>
          <w:color w:val="1F4E79" w:themeColor="accent1" w:themeShade="80"/>
          <w:sz w:val="22"/>
          <w:szCs w:val="22"/>
        </w:rPr>
        <w:t xml:space="preserve"> </w:t>
      </w:r>
      <w:r w:rsidR="00BD7E37">
        <w:rPr>
          <w:rFonts w:ascii="Calibri" w:hAnsi="Calibri" w:cs="Calibri"/>
          <w:color w:val="1F4E79" w:themeColor="accent1" w:themeShade="80"/>
          <w:sz w:val="22"/>
          <w:szCs w:val="22"/>
        </w:rPr>
        <w:t xml:space="preserve">υπηρεσιών. Επίσης, η εξαίρεση των υπηρεσιών </w:t>
      </w:r>
      <w:r w:rsidR="00BD7E37">
        <w:rPr>
          <w:rFonts w:ascii="Calibri" w:hAnsi="Calibri" w:cs="Calibri"/>
          <w:color w:val="1F4E79" w:themeColor="accent1" w:themeShade="80"/>
          <w:sz w:val="22"/>
          <w:szCs w:val="22"/>
          <w:lang w:val="en-US"/>
        </w:rPr>
        <w:t>PIA</w:t>
      </w:r>
      <w:r w:rsidR="00BD7E37">
        <w:rPr>
          <w:rFonts w:ascii="Calibri" w:hAnsi="Calibri" w:cs="Calibri"/>
          <w:color w:val="1F4E79" w:themeColor="accent1" w:themeShade="80"/>
          <w:sz w:val="22"/>
          <w:szCs w:val="22"/>
        </w:rPr>
        <w:t>, δεν κρίνεται ως εύλογη</w:t>
      </w:r>
      <w:r w:rsidR="00775F0A">
        <w:rPr>
          <w:rFonts w:ascii="Calibri" w:hAnsi="Calibri" w:cs="Calibri"/>
          <w:color w:val="1F4E79" w:themeColor="accent1" w:themeShade="80"/>
          <w:sz w:val="22"/>
          <w:szCs w:val="22"/>
        </w:rPr>
        <w:t>, διότι</w:t>
      </w:r>
      <w:r w:rsidR="00BD7E37">
        <w:rPr>
          <w:rFonts w:ascii="Calibri" w:hAnsi="Calibri" w:cs="Calibri"/>
          <w:color w:val="1F4E79" w:themeColor="accent1" w:themeShade="80"/>
          <w:sz w:val="22"/>
          <w:szCs w:val="22"/>
        </w:rPr>
        <w:t xml:space="preserve"> οι εν λόγω υπηρεσίες συμπεριλαμβάνονται στο μοντέλο της </w:t>
      </w:r>
      <w:r w:rsidR="00BD7E37">
        <w:rPr>
          <w:rFonts w:ascii="Calibri" w:hAnsi="Calibri" w:cs="Calibri"/>
          <w:color w:val="1F4E79" w:themeColor="accent1" w:themeShade="80"/>
          <w:sz w:val="22"/>
          <w:szCs w:val="22"/>
          <w:lang w:val="en-US"/>
        </w:rPr>
        <w:t>EETT</w:t>
      </w:r>
      <w:r w:rsidR="00BD7E37" w:rsidRPr="00BD7E37">
        <w:rPr>
          <w:rFonts w:ascii="Calibri" w:hAnsi="Calibri" w:cs="Calibri"/>
          <w:color w:val="1F4E79" w:themeColor="accent1" w:themeShade="80"/>
          <w:sz w:val="22"/>
          <w:szCs w:val="22"/>
        </w:rPr>
        <w:t xml:space="preserve">. </w:t>
      </w:r>
    </w:p>
    <w:p w14:paraId="299993FD" w14:textId="4491BDFF" w:rsidR="003B438D" w:rsidRPr="00BD7E37" w:rsidRDefault="00BD7E37" w:rsidP="00B12AE4">
      <w:pPr>
        <w:pStyle w:val="ab"/>
        <w:spacing w:before="143" w:line="259" w:lineRule="auto"/>
        <w:ind w:right="136"/>
        <w:rPr>
          <w:rFonts w:ascii="Calibri" w:hAnsi="Calibri" w:cs="Calibri"/>
          <w:sz w:val="22"/>
          <w:szCs w:val="22"/>
        </w:rPr>
      </w:pPr>
      <w:r>
        <w:rPr>
          <w:rFonts w:ascii="Calibri" w:hAnsi="Calibri" w:cs="Calibri"/>
          <w:color w:val="1F4E79" w:themeColor="accent1" w:themeShade="80"/>
          <w:sz w:val="22"/>
          <w:szCs w:val="22"/>
        </w:rPr>
        <w:t xml:space="preserve">Τέλος, η ΕΕΤΤ θεωρεί ότι η παράμετρος του μεριδίου αγοράς δεν δύναται να αντικαταστήσει το ασφάλιστρο κινδύνου και την </w:t>
      </w:r>
      <w:r w:rsidR="00775F0A">
        <w:rPr>
          <w:rFonts w:ascii="Calibri" w:hAnsi="Calibri" w:cs="Calibri"/>
          <w:color w:val="1F4E79" w:themeColor="accent1" w:themeShade="80"/>
          <w:sz w:val="22"/>
          <w:szCs w:val="22"/>
        </w:rPr>
        <w:t xml:space="preserve">αντίστοιχη </w:t>
      </w:r>
      <w:r>
        <w:rPr>
          <w:rFonts w:ascii="Calibri" w:hAnsi="Calibri" w:cs="Calibri"/>
          <w:color w:val="1F4E79" w:themeColor="accent1" w:themeShade="80"/>
          <w:sz w:val="22"/>
          <w:szCs w:val="22"/>
        </w:rPr>
        <w:t xml:space="preserve">αβεβαιότητα που σχετίζεται με τις επενδύσεις </w:t>
      </w:r>
      <w:r>
        <w:rPr>
          <w:rFonts w:ascii="Calibri" w:hAnsi="Calibri" w:cs="Calibri"/>
          <w:color w:val="1F4E79" w:themeColor="accent1" w:themeShade="80"/>
          <w:sz w:val="22"/>
          <w:szCs w:val="22"/>
          <w:lang w:val="en-US"/>
        </w:rPr>
        <w:t>FTTH</w:t>
      </w:r>
      <w:r w:rsidR="00775F0A">
        <w:rPr>
          <w:rFonts w:ascii="Calibri" w:hAnsi="Calibri" w:cs="Calibri"/>
          <w:color w:val="1F4E79" w:themeColor="accent1" w:themeShade="80"/>
          <w:sz w:val="22"/>
          <w:szCs w:val="22"/>
        </w:rPr>
        <w:t xml:space="preserve"> και τη συνολική ζήτηση </w:t>
      </w:r>
      <w:proofErr w:type="spellStart"/>
      <w:r w:rsidR="00635EC7">
        <w:rPr>
          <w:rFonts w:ascii="Calibri" w:hAnsi="Calibri" w:cs="Calibri"/>
          <w:color w:val="1F4E79" w:themeColor="accent1" w:themeShade="80"/>
          <w:sz w:val="22"/>
          <w:szCs w:val="22"/>
        </w:rPr>
        <w:t>υπερυψηλών</w:t>
      </w:r>
      <w:proofErr w:type="spellEnd"/>
      <w:r w:rsidR="00635EC7">
        <w:rPr>
          <w:rFonts w:ascii="Calibri" w:hAnsi="Calibri" w:cs="Calibri"/>
          <w:color w:val="1F4E79" w:themeColor="accent1" w:themeShade="80"/>
          <w:sz w:val="22"/>
          <w:szCs w:val="22"/>
        </w:rPr>
        <w:t xml:space="preserve"> ταχυτήτων</w:t>
      </w:r>
      <w:r w:rsidRPr="00BD7E37">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Επομένως, εμμένει στη θέση της για τη χρήση υπάρχουσας μεθοδολογίας.</w:t>
      </w:r>
    </w:p>
    <w:p w14:paraId="12B837D6" w14:textId="29B6A445" w:rsidR="00B4728C" w:rsidRDefault="00B4728C" w:rsidP="00D47AE9">
      <w:pPr>
        <w:pStyle w:val="ab"/>
        <w:spacing w:before="141" w:line="259" w:lineRule="auto"/>
        <w:ind w:left="143" w:right="133"/>
        <w:rPr>
          <w:rFonts w:ascii="Calibri" w:hAnsi="Calibri" w:cs="Calibri"/>
          <w:sz w:val="22"/>
          <w:szCs w:val="22"/>
        </w:rPr>
      </w:pPr>
    </w:p>
    <w:p w14:paraId="6E3540D0" w14:textId="16DE6A43" w:rsidR="001A3037" w:rsidRPr="00D47AE9" w:rsidRDefault="001A3037" w:rsidP="00392B3A">
      <w:pPr>
        <w:pStyle w:val="2"/>
        <w:keepNext w:val="0"/>
        <w:widowControl w:val="0"/>
        <w:numPr>
          <w:ilvl w:val="1"/>
          <w:numId w:val="6"/>
        </w:numPr>
        <w:tabs>
          <w:tab w:val="left" w:pos="720"/>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rPr>
        <w:t>Χονδρική πρόσβαση σε παθητική υποδομή</w:t>
      </w:r>
    </w:p>
    <w:p w14:paraId="7FCD236A" w14:textId="0C68E7A3" w:rsidR="001A3037" w:rsidRDefault="001A3037" w:rsidP="00B12AE4">
      <w:pPr>
        <w:pStyle w:val="ab"/>
        <w:spacing w:before="143" w:line="259" w:lineRule="auto"/>
        <w:ind w:right="136"/>
        <w:rPr>
          <w:rFonts w:ascii="Calibri" w:hAnsi="Calibri" w:cs="Calibri"/>
          <w:sz w:val="22"/>
          <w:szCs w:val="22"/>
        </w:rPr>
      </w:pPr>
      <w:r w:rsidRPr="001F4475">
        <w:rPr>
          <w:rFonts w:ascii="Calibri" w:hAnsi="Calibri" w:cs="Calibri"/>
          <w:sz w:val="22"/>
          <w:szCs w:val="22"/>
        </w:rPr>
        <w:t xml:space="preserve">Ένας συμμετέχων </w:t>
      </w:r>
      <w:r w:rsidR="003C28FC">
        <w:rPr>
          <w:rFonts w:ascii="Calibri" w:hAnsi="Calibri" w:cs="Calibri"/>
          <w:sz w:val="22"/>
          <w:szCs w:val="22"/>
        </w:rPr>
        <w:t>(----)</w:t>
      </w:r>
      <w:r w:rsidRPr="001F4475">
        <w:rPr>
          <w:rFonts w:ascii="Calibri" w:hAnsi="Calibri" w:cs="Calibri"/>
          <w:sz w:val="22"/>
          <w:szCs w:val="22"/>
        </w:rPr>
        <w:t xml:space="preserve"> </w:t>
      </w:r>
      <w:r w:rsidRPr="001A3037">
        <w:rPr>
          <w:rFonts w:ascii="Calibri" w:hAnsi="Calibri" w:cs="Calibri"/>
          <w:sz w:val="22"/>
          <w:szCs w:val="22"/>
        </w:rPr>
        <w:t xml:space="preserve">επισημαίνει ότι η κοστολόγηση των υπηρεσιών χονδρικής πρόσβασης σε παθητική φυσική υποδομή, και ειδικά της σκοτεινής ίνας μεταξύ οπτικής καμπίνας και κτιρίου, επηρεάζει ουσιαστικά τη βιωσιμότητα των επενδύσεων FTTH. Η παροχή σκοτεινής ίνας σε τρίτους παρόχους, ιδιαίτερα σε πυκνοκατοικημένες περιοχές, μπορεί να στερήσει από τον επενδυτή σημαντικό αριθμό δυνητικών συνδρομητών VULA </w:t>
      </w:r>
      <w:r>
        <w:rPr>
          <w:rFonts w:ascii="Calibri" w:hAnsi="Calibri" w:cs="Calibri"/>
          <w:sz w:val="22"/>
          <w:szCs w:val="22"/>
        </w:rPr>
        <w:t xml:space="preserve">και </w:t>
      </w:r>
      <w:r w:rsidRPr="001A3037">
        <w:rPr>
          <w:rFonts w:ascii="Calibri" w:hAnsi="Calibri" w:cs="Calibri"/>
          <w:sz w:val="22"/>
          <w:szCs w:val="22"/>
        </w:rPr>
        <w:t xml:space="preserve">προτείνει η τιμή της υπηρεσίας να υπολογίζεται βάσει του μοντέλου κόστους της ΕΕΤΤ </w:t>
      </w:r>
      <w:r w:rsidRPr="001A3037">
        <w:rPr>
          <w:rFonts w:ascii="Calibri" w:hAnsi="Calibri" w:cs="Calibri"/>
          <w:sz w:val="22"/>
          <w:szCs w:val="22"/>
        </w:rPr>
        <w:lastRenderedPageBreak/>
        <w:t xml:space="preserve">με </w:t>
      </w:r>
      <w:r w:rsidRPr="0015235B">
        <w:rPr>
          <w:rFonts w:ascii="Calibri" w:hAnsi="Calibri" w:cs="Calibri"/>
          <w:sz w:val="22"/>
          <w:szCs w:val="22"/>
        </w:rPr>
        <w:t>επιπλέον προσαύξηση (mark-up)</w:t>
      </w:r>
      <w:r w:rsidRPr="001A3037">
        <w:rPr>
          <w:rFonts w:ascii="Calibri" w:hAnsi="Calibri" w:cs="Calibri"/>
          <w:sz w:val="22"/>
          <w:szCs w:val="22"/>
        </w:rPr>
        <w:t>, ανάλογη με το μέγεθος του κτιρίου που εξυπηρετείται</w:t>
      </w:r>
      <w:r w:rsidR="0015235B">
        <w:rPr>
          <w:rFonts w:ascii="Calibri" w:hAnsi="Calibri" w:cs="Calibri"/>
          <w:sz w:val="22"/>
          <w:szCs w:val="22"/>
        </w:rPr>
        <w:t xml:space="preserve">, ή </w:t>
      </w:r>
      <w:r w:rsidRPr="001A3037">
        <w:rPr>
          <w:rFonts w:ascii="Calibri" w:hAnsi="Calibri" w:cs="Calibri"/>
          <w:sz w:val="22"/>
          <w:szCs w:val="22"/>
        </w:rPr>
        <w:t xml:space="preserve">ανάλογα με τον αριθμό διαμερισμάτων. Τέλος, </w:t>
      </w:r>
      <w:r w:rsidR="0015235B">
        <w:rPr>
          <w:rFonts w:ascii="Calibri" w:hAnsi="Calibri" w:cs="Calibri"/>
          <w:sz w:val="22"/>
          <w:szCs w:val="22"/>
        </w:rPr>
        <w:t>ο εν λόγω πάροχος διαφωνεί</w:t>
      </w:r>
      <w:r w:rsidRPr="001A3037">
        <w:rPr>
          <w:rFonts w:ascii="Calibri" w:hAnsi="Calibri" w:cs="Calibri"/>
          <w:sz w:val="22"/>
          <w:szCs w:val="22"/>
        </w:rPr>
        <w:t xml:space="preserve"> με τον υπολογισμό του μέσου αριθμού καλωδίων ανά τμήμα δικτύου και προτείνει τη χρήση του </w:t>
      </w:r>
      <w:r w:rsidRPr="0015235B">
        <w:rPr>
          <w:rFonts w:ascii="Calibri" w:hAnsi="Calibri" w:cs="Calibri"/>
          <w:sz w:val="22"/>
          <w:szCs w:val="22"/>
        </w:rPr>
        <w:t>αρχικού μήκους χαντακιού</w:t>
      </w:r>
      <w:r w:rsidRPr="001A3037">
        <w:rPr>
          <w:rFonts w:ascii="Calibri" w:hAnsi="Calibri" w:cs="Calibri"/>
          <w:sz w:val="22"/>
          <w:szCs w:val="22"/>
        </w:rPr>
        <w:t>, χωρίς αφαίρεση επικαλύψεων, για πιο ακριβή εκτίμηση κόστους.</w:t>
      </w:r>
    </w:p>
    <w:p w14:paraId="77808AAF" w14:textId="77777777" w:rsidR="00AA27F8" w:rsidRDefault="00AA27F8" w:rsidP="00924019">
      <w:pPr>
        <w:pStyle w:val="Default"/>
        <w:rPr>
          <w:rFonts w:ascii="Calibri" w:hAnsi="Calibri" w:cs="Calibri"/>
          <w:b/>
          <w:color w:val="1F4E79" w:themeColor="accent1" w:themeShade="80"/>
          <w:sz w:val="22"/>
          <w:szCs w:val="22"/>
          <w:u w:val="single"/>
        </w:rPr>
      </w:pPr>
    </w:p>
    <w:p w14:paraId="6D53A2A1" w14:textId="77777777" w:rsidR="00541E8D" w:rsidRDefault="00541E8D" w:rsidP="00924019">
      <w:pPr>
        <w:pStyle w:val="Default"/>
        <w:rPr>
          <w:rFonts w:ascii="Calibri" w:hAnsi="Calibri" w:cs="Calibri"/>
          <w:b/>
          <w:color w:val="1F4E79" w:themeColor="accent1" w:themeShade="80"/>
          <w:sz w:val="22"/>
          <w:szCs w:val="22"/>
          <w:u w:val="single"/>
        </w:rPr>
      </w:pPr>
    </w:p>
    <w:p w14:paraId="469E86BD" w14:textId="77777777" w:rsidR="00541E8D" w:rsidRPr="0066490C" w:rsidRDefault="00541E8D" w:rsidP="00924019">
      <w:pPr>
        <w:pStyle w:val="Default"/>
        <w:rPr>
          <w:rFonts w:ascii="Calibri" w:hAnsi="Calibri" w:cs="Calibri"/>
          <w:b/>
          <w:color w:val="1F4E79" w:themeColor="accent1" w:themeShade="80"/>
          <w:sz w:val="22"/>
          <w:szCs w:val="22"/>
          <w:u w:val="single"/>
        </w:rPr>
      </w:pPr>
    </w:p>
    <w:p w14:paraId="0E97FDB0" w14:textId="6C3D855A"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23426A">
        <w:rPr>
          <w:rFonts w:ascii="Calibri" w:hAnsi="Calibri" w:cs="Calibri"/>
          <w:b/>
          <w:color w:val="1F4E79" w:themeColor="accent1" w:themeShade="80"/>
          <w:sz w:val="22"/>
          <w:szCs w:val="22"/>
          <w:u w:val="single"/>
        </w:rPr>
        <w:t>16</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21BFC593" w14:textId="430F30FE" w:rsidR="000E3BF6" w:rsidRDefault="0023426A" w:rsidP="0023426A">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Όπως αναφέρθηκε και σε προηγούμενη απάντηση (Α.1</w:t>
      </w:r>
      <w:r w:rsidRPr="00FA7690">
        <w:rPr>
          <w:rFonts w:ascii="Calibri" w:hAnsi="Calibri" w:cs="Calibri"/>
          <w:color w:val="1F4E79" w:themeColor="accent1" w:themeShade="80"/>
          <w:sz w:val="22"/>
          <w:szCs w:val="22"/>
        </w:rPr>
        <w:t>0</w:t>
      </w:r>
      <w:r>
        <w:rPr>
          <w:rFonts w:ascii="Calibri" w:hAnsi="Calibri" w:cs="Calibri"/>
          <w:color w:val="1F4E79" w:themeColor="accent1" w:themeShade="80"/>
          <w:sz w:val="22"/>
          <w:szCs w:val="22"/>
        </w:rPr>
        <w:t xml:space="preserve">), η ΕΕΤΤ εμμένει στην υπάρχουσα μεθοδολογία </w:t>
      </w:r>
      <w:r w:rsidR="00422888">
        <w:rPr>
          <w:rFonts w:ascii="Calibri" w:hAnsi="Calibri" w:cs="Calibri"/>
          <w:color w:val="1F4E79" w:themeColor="accent1" w:themeShade="80"/>
          <w:sz w:val="22"/>
          <w:szCs w:val="22"/>
        </w:rPr>
        <w:t xml:space="preserve">υπολογισμού του μέσου αριθμού καλωδίων προς αποφυγή </w:t>
      </w:r>
      <w:proofErr w:type="spellStart"/>
      <w:r w:rsidR="00422888">
        <w:rPr>
          <w:rFonts w:ascii="Calibri" w:hAnsi="Calibri" w:cs="Calibri"/>
          <w:color w:val="1F4E79" w:themeColor="accent1" w:themeShade="80"/>
          <w:sz w:val="22"/>
          <w:szCs w:val="22"/>
        </w:rPr>
        <w:t>διπλομέτρησης</w:t>
      </w:r>
      <w:proofErr w:type="spellEnd"/>
      <w:r w:rsidR="00422888">
        <w:rPr>
          <w:rFonts w:ascii="Calibri" w:hAnsi="Calibri" w:cs="Calibri"/>
          <w:color w:val="1F4E79" w:themeColor="accent1" w:themeShade="80"/>
          <w:sz w:val="22"/>
          <w:szCs w:val="22"/>
        </w:rPr>
        <w:t>.</w:t>
      </w:r>
    </w:p>
    <w:p w14:paraId="4B0D5511" w14:textId="19D8D400" w:rsidR="0023426A" w:rsidRDefault="00422888" w:rsidP="0023426A">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Σχετικά με τις παρατηρήσεις του</w:t>
      </w:r>
      <w:r w:rsidR="00F5396D">
        <w:rPr>
          <w:rFonts w:ascii="Calibri" w:hAnsi="Calibri" w:cs="Calibri"/>
          <w:color w:val="1F4E79" w:themeColor="accent1" w:themeShade="80"/>
          <w:sz w:val="22"/>
          <w:szCs w:val="22"/>
        </w:rPr>
        <w:t xml:space="preserve"> συμμετέχοντα </w:t>
      </w:r>
      <w:r>
        <w:rPr>
          <w:rFonts w:ascii="Calibri" w:hAnsi="Calibri" w:cs="Calibri"/>
          <w:color w:val="1F4E79" w:themeColor="accent1" w:themeShade="80"/>
          <w:sz w:val="22"/>
          <w:szCs w:val="22"/>
        </w:rPr>
        <w:t xml:space="preserve">για τον πιθανό ανταγωνισμό και απώλεια συνδρομητών από την παροχή υπηρεσιών </w:t>
      </w:r>
      <w:r>
        <w:rPr>
          <w:rFonts w:ascii="Calibri" w:hAnsi="Calibri" w:cs="Calibri"/>
          <w:color w:val="1F4E79" w:themeColor="accent1" w:themeShade="80"/>
          <w:sz w:val="22"/>
          <w:szCs w:val="22"/>
          <w:lang w:val="en-US"/>
        </w:rPr>
        <w:t>PIA</w:t>
      </w:r>
      <w:r>
        <w:rPr>
          <w:rFonts w:ascii="Calibri" w:hAnsi="Calibri" w:cs="Calibri"/>
          <w:color w:val="1F4E79" w:themeColor="accent1" w:themeShade="80"/>
          <w:sz w:val="22"/>
          <w:szCs w:val="22"/>
        </w:rPr>
        <w:t>, η ΕΕΤΤ θεωρεί ότι καλύπτονται από την παράμετρο του μεριδίου αγοράς, χωρίς άλλες εξωγενείς παραμέτρους ή πολλαπλασιαστές υψηλής αβεβαιότητας</w:t>
      </w:r>
      <w:r w:rsidR="00C22A8E">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που δεν είναι συμβατές με την αρχή της κοστοστρέφειας. Ως εκ τούτου, η ΕΕΤΤ εμμένει στην μεθοδολογία που εφαρμόζεται στο μοντέλο.</w:t>
      </w:r>
    </w:p>
    <w:p w14:paraId="67250B97" w14:textId="77777777" w:rsidR="0023426A" w:rsidRDefault="0023426A" w:rsidP="0023426A">
      <w:pPr>
        <w:pStyle w:val="ab"/>
        <w:spacing w:before="141" w:line="259" w:lineRule="auto"/>
        <w:ind w:right="133"/>
        <w:rPr>
          <w:rFonts w:ascii="Calibri" w:hAnsi="Calibri" w:cs="Calibri"/>
          <w:sz w:val="22"/>
          <w:szCs w:val="22"/>
        </w:rPr>
      </w:pPr>
    </w:p>
    <w:p w14:paraId="10B3CE66" w14:textId="59DD1165" w:rsidR="000E3BF6" w:rsidRPr="002C406D" w:rsidRDefault="000E3BF6" w:rsidP="00392B3A">
      <w:pPr>
        <w:pStyle w:val="2"/>
        <w:keepNext w:val="0"/>
        <w:widowControl w:val="0"/>
        <w:numPr>
          <w:ilvl w:val="1"/>
          <w:numId w:val="6"/>
        </w:numPr>
        <w:tabs>
          <w:tab w:val="left" w:pos="720"/>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rPr>
        <w:t>Εφάπαξ Υπηρεσίες</w:t>
      </w:r>
    </w:p>
    <w:p w14:paraId="78B7AFCF" w14:textId="2A688ABB" w:rsidR="000E3BF6" w:rsidRDefault="000E3BF6" w:rsidP="008E26D2">
      <w:pPr>
        <w:pStyle w:val="Default"/>
        <w:spacing w:before="140" w:after="120"/>
        <w:rPr>
          <w:rFonts w:ascii="Calibri" w:hAnsi="Calibri" w:cs="Calibri"/>
          <w:color w:val="auto"/>
          <w:sz w:val="22"/>
          <w:szCs w:val="22"/>
        </w:rPr>
      </w:pPr>
      <w:r w:rsidRPr="008E26D2">
        <w:rPr>
          <w:rFonts w:ascii="Calibri" w:hAnsi="Calibri" w:cs="Calibri"/>
          <w:color w:val="auto"/>
          <w:sz w:val="22"/>
          <w:szCs w:val="22"/>
        </w:rPr>
        <w:t xml:space="preserve">Ένας πάροχος </w:t>
      </w:r>
      <w:r w:rsidR="003C28FC">
        <w:rPr>
          <w:rFonts w:ascii="Calibri" w:hAnsi="Calibri" w:cs="Calibri"/>
          <w:color w:val="auto"/>
          <w:sz w:val="22"/>
          <w:szCs w:val="22"/>
        </w:rPr>
        <w:t>(----)</w:t>
      </w:r>
      <w:r w:rsidRPr="008E26D2">
        <w:rPr>
          <w:rFonts w:ascii="Calibri" w:hAnsi="Calibri" w:cs="Calibri"/>
          <w:color w:val="auto"/>
          <w:sz w:val="22"/>
          <w:szCs w:val="22"/>
        </w:rPr>
        <w:t xml:space="preserve"> αναφέρει ότι το μοντέλο προβλέπει μόνο δύο τύπους αιτημάτων (Αίτημα σύνδεσης υπηρεσιών VLU/FTTH και αίτημα μετάβασης από ΠΥ1 σε ΠΥ2), ενώ η απόφαση της ΕΕΤΤ (1156/5/02.06.2025 ) ορίζει τρία είδη αιτήματος για την παροχή VLU/FTTH υπηρεσίας, αρχική σύνδεση (σε μη συνδεδεμένο κτίριο FTTH), μετάβαση από έναν πάροχο σε άλλο πάροχο και σύνδεση σε ήδη συνδεδεμένο κτίριο. Παράλληλα, θεωρεί υπερβολική την εκτίμηση των 473 λεπτών απασχόλησης για τη σύνδεση VLU/FTTH, καθώς δεν λαμβάνεται υπόψη η διαφοροποίηση ανάμεσα σε ανενεργές και ήδη συνδεδεμένες οπτικές ίνες, όπου δεν απαιτείται μετάβαση τεχνικού.</w:t>
      </w:r>
    </w:p>
    <w:p w14:paraId="3E492141" w14:textId="4255DE62" w:rsidR="000E3BF6" w:rsidRPr="008E26D2" w:rsidRDefault="000E3BF6" w:rsidP="008E26D2">
      <w:pPr>
        <w:pStyle w:val="Default"/>
        <w:spacing w:before="140" w:after="120"/>
        <w:rPr>
          <w:rFonts w:ascii="Calibri" w:hAnsi="Calibri" w:cs="Calibri"/>
          <w:color w:val="auto"/>
          <w:sz w:val="22"/>
          <w:szCs w:val="22"/>
        </w:rPr>
      </w:pPr>
      <w:r w:rsidRPr="008E26D2">
        <w:rPr>
          <w:rFonts w:ascii="Calibri" w:hAnsi="Calibri" w:cs="Calibri"/>
          <w:color w:val="auto"/>
          <w:sz w:val="22"/>
          <w:szCs w:val="22"/>
        </w:rPr>
        <w:t>Αναφέρει ότι πρέπει να επανεξεταστεί το σχετικό τέλος σύνδεσης VLU/FTTH ώστε να εναρμονιστεί με τις επιταγές της απόφασης ΕΕΤΤ 1165/5/02.06.2025 σχετικά με το χονδρικό προϊόν VLU και να διασφαλιστεί ότι οι εργασίες δεν περιλαμβάνονται ήδη (μετά την κεφαλαιοποίηση τους) στην εκτίμηση του CAPEX (συγκεκριμένα στο “</w:t>
      </w:r>
      <w:proofErr w:type="spellStart"/>
      <w:r w:rsidRPr="008E26D2">
        <w:rPr>
          <w:rFonts w:ascii="Calibri" w:hAnsi="Calibri" w:cs="Calibri"/>
          <w:color w:val="auto"/>
          <w:sz w:val="22"/>
          <w:szCs w:val="22"/>
        </w:rPr>
        <w:t>floor</w:t>
      </w:r>
      <w:proofErr w:type="spellEnd"/>
      <w:r w:rsidRPr="008E26D2">
        <w:rPr>
          <w:rFonts w:ascii="Calibri" w:hAnsi="Calibri" w:cs="Calibri"/>
          <w:color w:val="auto"/>
          <w:sz w:val="22"/>
          <w:szCs w:val="22"/>
        </w:rPr>
        <w:t xml:space="preserve"> </w:t>
      </w:r>
      <w:proofErr w:type="spellStart"/>
      <w:r w:rsidRPr="008E26D2">
        <w:rPr>
          <w:rFonts w:ascii="Calibri" w:hAnsi="Calibri" w:cs="Calibri"/>
          <w:color w:val="auto"/>
          <w:sz w:val="22"/>
          <w:szCs w:val="22"/>
        </w:rPr>
        <w:t>box</w:t>
      </w:r>
      <w:proofErr w:type="spellEnd"/>
      <w:r w:rsidRPr="008E26D2">
        <w:rPr>
          <w:rFonts w:ascii="Calibri" w:hAnsi="Calibri" w:cs="Calibri"/>
          <w:color w:val="auto"/>
          <w:sz w:val="22"/>
          <w:szCs w:val="22"/>
        </w:rPr>
        <w:t xml:space="preserve"> increment”) στο Bottom-Up LRIC+ μοντέλο για τον υπολογισμό των μηνιαίων τελών σύνδεσης, ώστε να αποτραπεί η </w:t>
      </w:r>
      <w:proofErr w:type="spellStart"/>
      <w:r w:rsidRPr="008E26D2">
        <w:rPr>
          <w:rFonts w:ascii="Calibri" w:hAnsi="Calibri" w:cs="Calibri"/>
          <w:color w:val="auto"/>
          <w:sz w:val="22"/>
          <w:szCs w:val="22"/>
        </w:rPr>
        <w:t>διπλοχρέωση</w:t>
      </w:r>
      <w:proofErr w:type="spellEnd"/>
      <w:r w:rsidRPr="008E26D2">
        <w:rPr>
          <w:rFonts w:ascii="Calibri" w:hAnsi="Calibri" w:cs="Calibri"/>
          <w:color w:val="auto"/>
          <w:sz w:val="22"/>
          <w:szCs w:val="22"/>
        </w:rPr>
        <w:t xml:space="preserve"> του κόστους</w:t>
      </w:r>
      <w:r w:rsidR="008E26D2">
        <w:rPr>
          <w:rFonts w:ascii="Calibri" w:hAnsi="Calibri" w:cs="Calibri"/>
          <w:color w:val="auto"/>
          <w:sz w:val="22"/>
          <w:szCs w:val="22"/>
        </w:rPr>
        <w:t>.</w:t>
      </w:r>
      <w:r w:rsidRPr="008E26D2">
        <w:rPr>
          <w:rFonts w:ascii="Calibri" w:hAnsi="Calibri" w:cs="Calibri"/>
          <w:color w:val="auto"/>
          <w:sz w:val="22"/>
          <w:szCs w:val="22"/>
        </w:rPr>
        <w:t xml:space="preserve"> </w:t>
      </w:r>
    </w:p>
    <w:p w14:paraId="168D8146" w14:textId="7178F2F5" w:rsidR="000E3BF6" w:rsidRPr="008E26D2" w:rsidRDefault="000E3BF6" w:rsidP="008E26D2">
      <w:pPr>
        <w:pStyle w:val="Default"/>
        <w:spacing w:before="140" w:after="120"/>
        <w:rPr>
          <w:rFonts w:ascii="Calibri" w:hAnsi="Calibri" w:cs="Calibri"/>
          <w:color w:val="auto"/>
          <w:sz w:val="22"/>
          <w:szCs w:val="22"/>
        </w:rPr>
      </w:pPr>
      <w:r w:rsidRPr="008E26D2">
        <w:rPr>
          <w:rFonts w:ascii="Calibri" w:hAnsi="Calibri" w:cs="Calibri"/>
          <w:color w:val="auto"/>
          <w:sz w:val="22"/>
          <w:szCs w:val="22"/>
        </w:rPr>
        <w:t xml:space="preserve">Για τις συνδέσεις σε ήδη συνδεδεμένα κτίρια, το μόνο που απαιτείται να κάνει ο πάροχος πρόσβασης είναι η χρήση του πληροφοριακού συστήματος, ενώ </w:t>
      </w:r>
      <w:proofErr w:type="spellStart"/>
      <w:r w:rsidRPr="008E26D2">
        <w:rPr>
          <w:rFonts w:ascii="Calibri" w:hAnsi="Calibri" w:cs="Calibri"/>
          <w:color w:val="auto"/>
          <w:sz w:val="22"/>
          <w:szCs w:val="22"/>
        </w:rPr>
        <w:t>επουδενί</w:t>
      </w:r>
      <w:proofErr w:type="spellEnd"/>
      <w:r w:rsidRPr="008E26D2">
        <w:rPr>
          <w:rFonts w:ascii="Calibri" w:hAnsi="Calibri" w:cs="Calibri"/>
          <w:color w:val="auto"/>
          <w:sz w:val="22"/>
          <w:szCs w:val="22"/>
        </w:rPr>
        <w:t xml:space="preserve"> δεν απαιτείται η μετάβαση τεχνικού και πραγματοποίηση ενεργειών στο πεδίο </w:t>
      </w:r>
    </w:p>
    <w:p w14:paraId="51B9DBF1" w14:textId="12B9FC17" w:rsidR="000E3BF6" w:rsidRPr="008E26D2" w:rsidRDefault="000E3BF6" w:rsidP="008E26D2">
      <w:pPr>
        <w:pStyle w:val="Default"/>
        <w:spacing w:before="140" w:after="120"/>
        <w:rPr>
          <w:rFonts w:ascii="Calibri" w:hAnsi="Calibri" w:cs="Calibri"/>
          <w:color w:val="auto"/>
          <w:sz w:val="22"/>
          <w:szCs w:val="22"/>
        </w:rPr>
      </w:pPr>
      <w:r w:rsidRPr="008E26D2">
        <w:rPr>
          <w:rFonts w:ascii="Calibri" w:hAnsi="Calibri" w:cs="Calibri"/>
          <w:color w:val="auto"/>
          <w:sz w:val="22"/>
          <w:szCs w:val="22"/>
        </w:rPr>
        <w:t xml:space="preserve">Επίσης, η υπόθεση ότι η ενεργοποίηση γίνεται μία φορά ανά νοικοκυριό δεν ισχύει. Νέοι πελάτες FTTH με ανενεργή γραμμή μπορεί να εμφανιστούν σε ήδη συνδεδεμένα νοικοκυριά περισσότερες από μία φορές, με αποτέλεσμα ο πάροχος λιανικής να υποβάλλει το εν λόγω κόστος σε κάθε τέτοια περίπτωση. </w:t>
      </w:r>
    </w:p>
    <w:p w14:paraId="62378DF5" w14:textId="77777777" w:rsidR="000E3BF6" w:rsidRPr="008E26D2" w:rsidRDefault="000E3BF6" w:rsidP="008E26D2">
      <w:pPr>
        <w:pStyle w:val="Default"/>
        <w:spacing w:before="140" w:after="120"/>
        <w:rPr>
          <w:rFonts w:ascii="Calibri" w:hAnsi="Calibri" w:cs="Calibri"/>
          <w:color w:val="auto"/>
          <w:sz w:val="22"/>
          <w:szCs w:val="22"/>
        </w:rPr>
      </w:pPr>
      <w:r w:rsidRPr="008E26D2">
        <w:rPr>
          <w:rFonts w:ascii="Calibri" w:hAnsi="Calibri" w:cs="Calibri"/>
          <w:color w:val="auto"/>
          <w:sz w:val="22"/>
          <w:szCs w:val="22"/>
        </w:rPr>
        <w:lastRenderedPageBreak/>
        <w:t>Εν τέλει,  για τις υπηρεσίες VLU/FTTH, η ΕΕΤΤ θα πρέπει να υπολογίσει ένα τέλος σύνδεσης σε ανενεργή οπτική ίνα και ένα τέλος σύνδεσης σε ενεργή οπτική ίνα, όπως προβλέπεται στην απόφασή της για το χονδρικό προϊόν VLU, εξαιρώντας σε κάθε περίπτωση το κόστος κατασκευής που έχει περιληφθεί στο «</w:t>
      </w:r>
      <w:proofErr w:type="spellStart"/>
      <w:r w:rsidRPr="008E26D2">
        <w:rPr>
          <w:rFonts w:ascii="Calibri" w:hAnsi="Calibri" w:cs="Calibri"/>
          <w:color w:val="auto"/>
          <w:sz w:val="22"/>
          <w:szCs w:val="22"/>
        </w:rPr>
        <w:t>floor</w:t>
      </w:r>
      <w:proofErr w:type="spellEnd"/>
      <w:r w:rsidRPr="008E26D2">
        <w:rPr>
          <w:rFonts w:ascii="Calibri" w:hAnsi="Calibri" w:cs="Calibri"/>
          <w:color w:val="auto"/>
          <w:sz w:val="22"/>
          <w:szCs w:val="22"/>
        </w:rPr>
        <w:t xml:space="preserve"> </w:t>
      </w:r>
      <w:proofErr w:type="spellStart"/>
      <w:r w:rsidRPr="008E26D2">
        <w:rPr>
          <w:rFonts w:ascii="Calibri" w:hAnsi="Calibri" w:cs="Calibri"/>
          <w:color w:val="auto"/>
          <w:sz w:val="22"/>
          <w:szCs w:val="22"/>
        </w:rPr>
        <w:t>box</w:t>
      </w:r>
      <w:proofErr w:type="spellEnd"/>
      <w:r w:rsidRPr="008E26D2">
        <w:rPr>
          <w:rFonts w:ascii="Calibri" w:hAnsi="Calibri" w:cs="Calibri"/>
          <w:color w:val="auto"/>
          <w:sz w:val="22"/>
          <w:szCs w:val="22"/>
        </w:rPr>
        <w:t xml:space="preserve"> increment» και επανεξετάζοντας τους χρόνους απασχόλησης και μετάβασης τεχνικού.</w:t>
      </w:r>
    </w:p>
    <w:p w14:paraId="084DCEF1" w14:textId="569A9ACD" w:rsidR="000E3BF6" w:rsidRPr="008E26D2" w:rsidRDefault="000E3BF6" w:rsidP="008E26D2">
      <w:pPr>
        <w:pStyle w:val="Default"/>
        <w:spacing w:before="140" w:after="120"/>
        <w:rPr>
          <w:rFonts w:ascii="Calibri" w:hAnsi="Calibri" w:cs="Calibri"/>
          <w:color w:val="auto"/>
          <w:sz w:val="22"/>
          <w:szCs w:val="22"/>
        </w:rPr>
      </w:pPr>
      <w:r w:rsidRPr="008E26D2">
        <w:rPr>
          <w:rFonts w:ascii="Calibri" w:hAnsi="Calibri" w:cs="Calibri"/>
          <w:color w:val="auto"/>
          <w:sz w:val="22"/>
          <w:szCs w:val="22"/>
        </w:rPr>
        <w:t>Ο ίδιος πάροχος θεωρεί ότι το τέλος ακύρωσης δεν μπορεί να υπολογίζεται ως ποσοστό επί του τέλους ενεργοποίησης και επισημαίνει ότι όταν η ακύρωση του αιτήματος πρέπει να γίνει τουλάχιστον 2 ΕΗ πριν την προγραμματισμένη ενεργοποίηση της υπηρεσίας, δεν υλοποιείται σχεδόν η πλειονότητα των εργασιών που προβλέπονται για την ενεργοποίηση (μετάβαση τεχνικού, υλοποίηση τεχνικών εργασιών, μελέτες και εργασίες μηχανικού, μετρήσεις ποιότητας) οι οποίες έχουν υπολογιστεί, καθ’ υπερβολή στα 473 λεπτά.</w:t>
      </w:r>
    </w:p>
    <w:p w14:paraId="798B6FCB" w14:textId="634448CF" w:rsidR="008E26D2" w:rsidRPr="008E26D2" w:rsidRDefault="008E26D2" w:rsidP="008E26D2">
      <w:pPr>
        <w:pStyle w:val="Default"/>
        <w:spacing w:before="140" w:after="120"/>
        <w:rPr>
          <w:rFonts w:ascii="Calibri" w:hAnsi="Calibri" w:cs="Calibri"/>
          <w:color w:val="auto"/>
          <w:sz w:val="22"/>
          <w:szCs w:val="22"/>
        </w:rPr>
      </w:pPr>
      <w:r w:rsidRPr="008E26D2">
        <w:rPr>
          <w:rFonts w:ascii="Calibri" w:hAnsi="Calibri" w:cs="Calibri"/>
          <w:color w:val="auto"/>
          <w:sz w:val="22"/>
          <w:szCs w:val="22"/>
        </w:rPr>
        <w:t xml:space="preserve">Ένας συμμετέχων </w:t>
      </w:r>
      <w:r w:rsidR="003C28FC">
        <w:rPr>
          <w:rFonts w:ascii="Calibri" w:hAnsi="Calibri" w:cs="Calibri"/>
          <w:color w:val="auto"/>
          <w:sz w:val="22"/>
          <w:szCs w:val="22"/>
        </w:rPr>
        <w:t>(----)</w:t>
      </w:r>
      <w:r w:rsidRPr="008E26D2">
        <w:rPr>
          <w:rFonts w:ascii="Calibri" w:hAnsi="Calibri" w:cs="Calibri"/>
          <w:color w:val="auto"/>
          <w:sz w:val="22"/>
          <w:szCs w:val="22"/>
        </w:rPr>
        <w:t xml:space="preserve"> επισημαίνει ότι το Εφάπαξ Τέλος άσκοπης μετάβασης συνεργείου για Κατασκευή Οπτικής Υποδομής που αναφέρεται στο αρχείο 4. NGA 2025_Annex_8_Cost </w:t>
      </w:r>
      <w:proofErr w:type="spellStart"/>
      <w:r w:rsidRPr="008E26D2">
        <w:rPr>
          <w:rFonts w:ascii="Calibri" w:hAnsi="Calibri" w:cs="Calibri"/>
          <w:color w:val="auto"/>
          <w:sz w:val="22"/>
          <w:szCs w:val="22"/>
        </w:rPr>
        <w:t>Services_Model_public</w:t>
      </w:r>
      <w:proofErr w:type="spellEnd"/>
      <w:r w:rsidRPr="008E26D2">
        <w:rPr>
          <w:rFonts w:ascii="Calibri" w:hAnsi="Calibri" w:cs="Calibri"/>
          <w:color w:val="auto"/>
          <w:sz w:val="22"/>
          <w:szCs w:val="22"/>
        </w:rPr>
        <w:t>, στο φύλλο «Αγορά 3α_Summary», κελί Α105 διαμορφώνεται σε υψηλότερο σημείο από αυτό που ορίζει το μοντέλο και ενδέχεται να χρειάζεται αναθεώρηση, καθώς παρατηρείται αύξηση στο κόστος μετάβασης τεχνικού είτε</w:t>
      </w:r>
      <w:r w:rsidR="00FF535F">
        <w:rPr>
          <w:rFonts w:ascii="Calibri" w:hAnsi="Calibri" w:cs="Calibri"/>
          <w:color w:val="auto"/>
          <w:sz w:val="22"/>
          <w:szCs w:val="22"/>
        </w:rPr>
        <w:t xml:space="preserve"> </w:t>
      </w:r>
      <w:r w:rsidRPr="008E26D2">
        <w:rPr>
          <w:rFonts w:ascii="Calibri" w:hAnsi="Calibri" w:cs="Calibri"/>
          <w:color w:val="auto"/>
          <w:sz w:val="22"/>
          <w:szCs w:val="22"/>
        </w:rPr>
        <w:t>για επιθεωρήσεις είτε για την κατασκευή οπτικής υποδομής. Επιπλέον, δεν έχουν συμπεριληφθεί οι ακόλουθες εργασίες:</w:t>
      </w:r>
    </w:p>
    <w:p w14:paraId="754CB8BA" w14:textId="77777777" w:rsidR="008E26D2" w:rsidRPr="008E26D2" w:rsidRDefault="008E26D2" w:rsidP="008E26D2">
      <w:pPr>
        <w:pStyle w:val="Default"/>
        <w:numPr>
          <w:ilvl w:val="0"/>
          <w:numId w:val="11"/>
        </w:numPr>
        <w:spacing w:before="140" w:after="120"/>
        <w:rPr>
          <w:rFonts w:ascii="Calibri" w:hAnsi="Calibri" w:cs="Calibri"/>
          <w:color w:val="auto"/>
          <w:sz w:val="22"/>
          <w:szCs w:val="22"/>
        </w:rPr>
      </w:pPr>
      <w:r w:rsidRPr="008E26D2">
        <w:rPr>
          <w:rFonts w:ascii="Calibri" w:hAnsi="Calibri" w:cs="Calibri"/>
          <w:color w:val="auto"/>
          <w:sz w:val="22"/>
          <w:szCs w:val="22"/>
        </w:rPr>
        <w:t xml:space="preserve">Χρήση Πληροφοριακού Συστήματος (ενημέρωση συστήματος για αδυναμία πρόσβασης, επισύναψη αποδεικτικού μετάβασης, προγραμματισμός νέας επίσκεψης εντός συγκεκριμένου χρονικού πλαισίου) </w:t>
      </w:r>
    </w:p>
    <w:p w14:paraId="1B57ACB0" w14:textId="77777777" w:rsidR="008E26D2" w:rsidRPr="008E26D2" w:rsidRDefault="008E26D2" w:rsidP="008E26D2">
      <w:pPr>
        <w:pStyle w:val="Default"/>
        <w:numPr>
          <w:ilvl w:val="0"/>
          <w:numId w:val="11"/>
        </w:numPr>
        <w:spacing w:before="140" w:after="120"/>
        <w:rPr>
          <w:rFonts w:ascii="Calibri" w:hAnsi="Calibri" w:cs="Calibri"/>
          <w:color w:val="auto"/>
          <w:sz w:val="22"/>
          <w:szCs w:val="22"/>
        </w:rPr>
      </w:pPr>
      <w:r w:rsidRPr="008E26D2">
        <w:rPr>
          <w:rFonts w:ascii="Calibri" w:hAnsi="Calibri" w:cs="Calibri"/>
          <w:color w:val="auto"/>
          <w:sz w:val="22"/>
          <w:szCs w:val="22"/>
        </w:rPr>
        <w:t xml:space="preserve">Συντονισμός ενεργειών/εργασιών/συνεργείων (εξειδικευμένη ομάδα που μεταβαίνει για την πραγματοποίηση των εργασιών εντός του 4ωρου χρονικού διαστήματος που έχει γνωστοποιηθεί νωρίτερα στον Πάροχο με αποτέλεσμα την δέσμευση στον χρονοπρογραμματισμό τους και τον περιορισμό της ημερήσιας παραγωγικότητας του) </w:t>
      </w:r>
    </w:p>
    <w:p w14:paraId="0D888BD2" w14:textId="77777777" w:rsidR="008E26D2" w:rsidRPr="008E26D2" w:rsidRDefault="008E26D2" w:rsidP="008E26D2">
      <w:pPr>
        <w:pStyle w:val="Default"/>
        <w:numPr>
          <w:ilvl w:val="0"/>
          <w:numId w:val="11"/>
        </w:numPr>
        <w:spacing w:before="140" w:after="120"/>
        <w:rPr>
          <w:rFonts w:ascii="Calibri" w:hAnsi="Calibri" w:cs="Calibri"/>
          <w:color w:val="auto"/>
          <w:sz w:val="22"/>
          <w:szCs w:val="22"/>
        </w:rPr>
      </w:pPr>
      <w:r w:rsidRPr="008E26D2">
        <w:rPr>
          <w:rFonts w:ascii="Calibri" w:hAnsi="Calibri" w:cs="Calibri"/>
          <w:color w:val="auto"/>
          <w:sz w:val="22"/>
          <w:szCs w:val="22"/>
        </w:rPr>
        <w:t>Μελέτες Μηχανικού (προηγείται της εκτέλεσης των εργασιών).</w:t>
      </w:r>
    </w:p>
    <w:p w14:paraId="59AB577A" w14:textId="44C88308" w:rsidR="000E3BF6" w:rsidRDefault="000E3BF6" w:rsidP="00D47AE9">
      <w:pPr>
        <w:pStyle w:val="ab"/>
        <w:spacing w:before="141" w:line="259" w:lineRule="auto"/>
        <w:ind w:left="143" w:right="133"/>
        <w:rPr>
          <w:rFonts w:ascii="Calibri" w:hAnsi="Calibri" w:cs="Calibri"/>
          <w:sz w:val="22"/>
          <w:szCs w:val="22"/>
        </w:rPr>
      </w:pPr>
    </w:p>
    <w:p w14:paraId="5B57950F" w14:textId="423F8177" w:rsidR="00FF535F" w:rsidRDefault="00FF535F" w:rsidP="00FF535F">
      <w:pPr>
        <w:pStyle w:val="Default"/>
        <w:spacing w:before="140" w:after="120"/>
        <w:rPr>
          <w:rFonts w:ascii="Calibri" w:hAnsi="Calibri" w:cs="Calibri"/>
          <w:sz w:val="22"/>
          <w:szCs w:val="22"/>
        </w:rPr>
      </w:pPr>
      <w:r>
        <w:rPr>
          <w:rFonts w:ascii="Calibri" w:hAnsi="Calibri" w:cs="Calibri"/>
          <w:sz w:val="22"/>
          <w:szCs w:val="22"/>
        </w:rPr>
        <w:t xml:space="preserve">Ένας συμμετέχοντας </w:t>
      </w:r>
      <w:r w:rsidR="003C28FC">
        <w:rPr>
          <w:rFonts w:ascii="Calibri" w:hAnsi="Calibri" w:cs="Calibri"/>
          <w:sz w:val="22"/>
          <w:szCs w:val="22"/>
        </w:rPr>
        <w:t>(----)</w:t>
      </w:r>
      <w:r w:rsidRPr="00FF535F">
        <w:rPr>
          <w:rFonts w:ascii="Calibri" w:hAnsi="Calibri" w:cs="Calibri"/>
          <w:sz w:val="22"/>
          <w:szCs w:val="22"/>
        </w:rPr>
        <w:t xml:space="preserve">, αναφορικά με τα εφάπαξ τέλη, </w:t>
      </w:r>
      <w:r>
        <w:rPr>
          <w:rFonts w:ascii="Calibri" w:hAnsi="Calibri" w:cs="Calibri"/>
          <w:sz w:val="22"/>
          <w:szCs w:val="22"/>
        </w:rPr>
        <w:t xml:space="preserve">προτείνει να γίνει </w:t>
      </w:r>
      <w:r w:rsidRPr="00FF535F">
        <w:rPr>
          <w:rFonts w:ascii="Calibri" w:hAnsi="Calibri" w:cs="Calibri"/>
          <w:sz w:val="22"/>
          <w:szCs w:val="22"/>
        </w:rPr>
        <w:t xml:space="preserve">πλήρης ανάλυση και παράθεση στο σχετικό αρχείο του μοντέλου των ενεργειών και του αντίστοιχου κόστους για το σύνολο των εφάπαξ τελών και όχι ο υπολογισμός τους ως ποσοστό ή άθροισμα άλλων τελών. Επίσης </w:t>
      </w:r>
      <w:r w:rsidR="004A23A1">
        <w:rPr>
          <w:rFonts w:ascii="Calibri" w:hAnsi="Calibri" w:cs="Calibri"/>
          <w:sz w:val="22"/>
          <w:szCs w:val="22"/>
        </w:rPr>
        <w:t>προτείνει</w:t>
      </w:r>
      <w:r w:rsidRPr="00FF535F">
        <w:rPr>
          <w:rFonts w:ascii="Calibri" w:hAnsi="Calibri" w:cs="Calibri"/>
          <w:sz w:val="22"/>
          <w:szCs w:val="22"/>
        </w:rPr>
        <w:t xml:space="preserve"> τον υπολογισμό μαζικού «εφάπαξ τέλους αλλαγής ορίου </w:t>
      </w:r>
      <w:proofErr w:type="spellStart"/>
      <w:r w:rsidRPr="00FF535F">
        <w:rPr>
          <w:rFonts w:ascii="Calibri" w:hAnsi="Calibri" w:cs="Calibri"/>
          <w:sz w:val="22"/>
          <w:szCs w:val="22"/>
        </w:rPr>
        <w:t>ΤοΒ</w:t>
      </w:r>
      <w:proofErr w:type="spellEnd"/>
      <w:r w:rsidRPr="00FF535F">
        <w:rPr>
          <w:rFonts w:ascii="Calibri" w:hAnsi="Calibri" w:cs="Calibri"/>
          <w:sz w:val="22"/>
          <w:szCs w:val="22"/>
        </w:rPr>
        <w:t xml:space="preserve"> στο Γενικό Κατανεμητή ΟΤΕ», καθώς προκύπτουν πολλαπλά αιτήματα στο πλαίσιο </w:t>
      </w:r>
      <w:proofErr w:type="spellStart"/>
      <w:r w:rsidRPr="00FF535F">
        <w:rPr>
          <w:rFonts w:ascii="Calibri" w:hAnsi="Calibri" w:cs="Calibri"/>
          <w:sz w:val="22"/>
          <w:szCs w:val="22"/>
        </w:rPr>
        <w:t>εξορθολογισμού</w:t>
      </w:r>
      <w:proofErr w:type="spellEnd"/>
      <w:r w:rsidRPr="00FF535F">
        <w:rPr>
          <w:rFonts w:ascii="Calibri" w:hAnsi="Calibri" w:cs="Calibri"/>
          <w:sz w:val="22"/>
          <w:szCs w:val="22"/>
        </w:rPr>
        <w:t xml:space="preserve"> των δικτυακών πόρων (πχ καταργήσεις DSLAM) εντός του ίδιου ΑΚ ο ρυθμός των οποίων και οι σχετικές ενέργειες είναι αποτέλεσμα προηγούμενης κοινής αποδοχής με τον ΟΤΕ).</w:t>
      </w:r>
    </w:p>
    <w:p w14:paraId="341643D9"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5535AA48" w14:textId="76392D7F"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5B233E">
        <w:rPr>
          <w:rFonts w:ascii="Calibri" w:hAnsi="Calibri" w:cs="Calibri"/>
          <w:b/>
          <w:color w:val="1F4E79" w:themeColor="accent1" w:themeShade="80"/>
          <w:sz w:val="22"/>
          <w:szCs w:val="22"/>
          <w:u w:val="single"/>
        </w:rPr>
        <w:t>17</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3D06D54F" w14:textId="0548ED22" w:rsidR="00A518FE" w:rsidRDefault="005B233E" w:rsidP="00FF535F">
      <w:pPr>
        <w:pStyle w:val="Default"/>
        <w:spacing w:before="140" w:after="120"/>
        <w:rPr>
          <w:rFonts w:ascii="Calibri" w:hAnsi="Calibri" w:cs="Calibri"/>
          <w:color w:val="1F4E79" w:themeColor="accent1" w:themeShade="80"/>
          <w:sz w:val="22"/>
          <w:szCs w:val="22"/>
        </w:rPr>
      </w:pPr>
      <w:r>
        <w:rPr>
          <w:rFonts w:ascii="Calibri" w:hAnsi="Calibri" w:cs="Calibri"/>
          <w:color w:val="1F4E79" w:themeColor="accent1" w:themeShade="80"/>
          <w:sz w:val="22"/>
          <w:szCs w:val="22"/>
        </w:rPr>
        <w:lastRenderedPageBreak/>
        <w:t xml:space="preserve">Η ΕΕΤΤ λαμβάνοντας υπόψη τα σχόλια των </w:t>
      </w:r>
      <w:r w:rsidR="00A518FE">
        <w:rPr>
          <w:rFonts w:ascii="Calibri" w:hAnsi="Calibri" w:cs="Calibri"/>
          <w:color w:val="1F4E79" w:themeColor="accent1" w:themeShade="80"/>
          <w:sz w:val="22"/>
          <w:szCs w:val="22"/>
        </w:rPr>
        <w:t>συμμετεχόντων</w:t>
      </w:r>
      <w:r>
        <w:rPr>
          <w:rFonts w:ascii="Calibri" w:hAnsi="Calibri" w:cs="Calibri"/>
          <w:color w:val="1F4E79" w:themeColor="accent1" w:themeShade="80"/>
          <w:sz w:val="22"/>
          <w:szCs w:val="22"/>
        </w:rPr>
        <w:t xml:space="preserve">, θα τροποποιήσει το χρόνο που απαιτείται για ορισμένες εργασίες για </w:t>
      </w:r>
      <w:r w:rsidR="00194018">
        <w:rPr>
          <w:rFonts w:ascii="Calibri" w:hAnsi="Calibri" w:cs="Calibri"/>
          <w:color w:val="1F4E79" w:themeColor="accent1" w:themeShade="80"/>
          <w:sz w:val="22"/>
          <w:szCs w:val="22"/>
        </w:rPr>
        <w:t xml:space="preserve">τον υπολογισμό των </w:t>
      </w:r>
      <w:r>
        <w:rPr>
          <w:rFonts w:ascii="Calibri" w:hAnsi="Calibri" w:cs="Calibri"/>
          <w:color w:val="1F4E79" w:themeColor="accent1" w:themeShade="80"/>
          <w:sz w:val="22"/>
          <w:szCs w:val="22"/>
        </w:rPr>
        <w:t xml:space="preserve">εφάπαξ </w:t>
      </w:r>
      <w:r w:rsidR="00194018">
        <w:rPr>
          <w:rFonts w:ascii="Calibri" w:hAnsi="Calibri" w:cs="Calibri"/>
          <w:color w:val="1F4E79" w:themeColor="accent1" w:themeShade="80"/>
          <w:sz w:val="22"/>
          <w:szCs w:val="22"/>
        </w:rPr>
        <w:t xml:space="preserve">τελών </w:t>
      </w:r>
      <w:r>
        <w:rPr>
          <w:rFonts w:ascii="Calibri" w:hAnsi="Calibri" w:cs="Calibri"/>
          <w:color w:val="1F4E79" w:themeColor="accent1" w:themeShade="80"/>
          <w:sz w:val="22"/>
          <w:szCs w:val="22"/>
        </w:rPr>
        <w:t xml:space="preserve">υπηρεσιών </w:t>
      </w:r>
      <w:r>
        <w:rPr>
          <w:rFonts w:ascii="Calibri" w:hAnsi="Calibri" w:cs="Calibri"/>
          <w:color w:val="1F4E79" w:themeColor="accent1" w:themeShade="80"/>
          <w:sz w:val="22"/>
          <w:szCs w:val="22"/>
          <w:lang w:val="en-US"/>
        </w:rPr>
        <w:t>FTTH</w:t>
      </w:r>
      <w:r w:rsidRPr="005B233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και θα αφαιρέσει τη μετάβαση τεχνικού στο τέλος «</w:t>
      </w:r>
      <w:r w:rsidRPr="005B233E">
        <w:rPr>
          <w:rFonts w:ascii="Calibri" w:hAnsi="Calibri" w:cs="Calibri"/>
          <w:color w:val="1F4E79" w:themeColor="accent1" w:themeShade="80"/>
          <w:sz w:val="22"/>
          <w:szCs w:val="22"/>
        </w:rPr>
        <w:t>Εφάπαξ τέλος αποσύνδεσης υπηρεσιών VLU/</w:t>
      </w:r>
      <w:proofErr w:type="spellStart"/>
      <w:r w:rsidRPr="005B233E">
        <w:rPr>
          <w:rFonts w:ascii="Calibri" w:hAnsi="Calibri" w:cs="Calibri"/>
          <w:color w:val="1F4E79" w:themeColor="accent1" w:themeShade="80"/>
          <w:sz w:val="22"/>
          <w:szCs w:val="22"/>
        </w:rPr>
        <w:t>FttΗ</w:t>
      </w:r>
      <w:proofErr w:type="spellEnd"/>
      <w:r w:rsidRPr="005B233E">
        <w:rPr>
          <w:rFonts w:ascii="Calibri" w:hAnsi="Calibri" w:cs="Calibri"/>
          <w:color w:val="1F4E79" w:themeColor="accent1" w:themeShade="80"/>
          <w:sz w:val="22"/>
          <w:szCs w:val="22"/>
        </w:rPr>
        <w:t xml:space="preserve"> (καλύπτει και FTTH/BRAS)</w:t>
      </w:r>
      <w:r>
        <w:rPr>
          <w:rFonts w:ascii="Calibri" w:hAnsi="Calibri" w:cs="Calibri"/>
          <w:color w:val="1F4E79" w:themeColor="accent1" w:themeShade="80"/>
          <w:sz w:val="22"/>
          <w:szCs w:val="22"/>
        </w:rPr>
        <w:t>». Επιπρόσθετα, θα τροποποιηθεί ο υπολογισμός του «</w:t>
      </w:r>
      <w:r w:rsidRPr="005B233E">
        <w:rPr>
          <w:rFonts w:ascii="Calibri" w:hAnsi="Calibri" w:cs="Calibri"/>
          <w:color w:val="1F4E79" w:themeColor="accent1" w:themeShade="80"/>
          <w:sz w:val="22"/>
          <w:szCs w:val="22"/>
        </w:rPr>
        <w:t>Εφάπαξ Τέλος Ακύρωσης Ενεργοποίησης χωρίς να έχουν προγραμματιστεί εργασίες στο κτίριο (επιθεώρηση κτιρίου ή κατασκευή BEP/Floor Box)</w:t>
      </w:r>
      <w:r>
        <w:rPr>
          <w:rFonts w:ascii="Calibri" w:hAnsi="Calibri" w:cs="Calibri"/>
          <w:color w:val="1F4E79" w:themeColor="accent1" w:themeShade="80"/>
          <w:sz w:val="22"/>
          <w:szCs w:val="22"/>
        </w:rPr>
        <w:t xml:space="preserve">» με λεπτομερή </w:t>
      </w:r>
      <w:r w:rsidR="00CE6CEB">
        <w:rPr>
          <w:rFonts w:ascii="Calibri" w:hAnsi="Calibri" w:cs="Calibri"/>
          <w:color w:val="1F4E79" w:themeColor="accent1" w:themeShade="80"/>
          <w:sz w:val="22"/>
          <w:szCs w:val="22"/>
        </w:rPr>
        <w:t>μοντελοποίηση</w:t>
      </w:r>
      <w:r>
        <w:rPr>
          <w:rFonts w:ascii="Calibri" w:hAnsi="Calibri" w:cs="Calibri"/>
          <w:color w:val="1F4E79" w:themeColor="accent1" w:themeShade="80"/>
          <w:sz w:val="22"/>
          <w:szCs w:val="22"/>
        </w:rPr>
        <w:t xml:space="preserve"> αντί ποσοστού</w:t>
      </w:r>
      <w:r w:rsidR="00CE6CEB">
        <w:rPr>
          <w:rFonts w:ascii="Calibri" w:hAnsi="Calibri" w:cs="Calibri"/>
          <w:color w:val="1F4E79" w:themeColor="accent1" w:themeShade="80"/>
          <w:sz w:val="22"/>
          <w:szCs w:val="22"/>
        </w:rPr>
        <w:t>, και ακολούθως τ</w:t>
      </w:r>
      <w:r w:rsidR="00A518FE">
        <w:rPr>
          <w:rFonts w:ascii="Calibri" w:hAnsi="Calibri" w:cs="Calibri"/>
          <w:color w:val="1F4E79" w:themeColor="accent1" w:themeShade="80"/>
          <w:sz w:val="22"/>
          <w:szCs w:val="22"/>
        </w:rPr>
        <w:t>ο</w:t>
      </w:r>
      <w:r w:rsidR="00CE6CEB">
        <w:rPr>
          <w:rFonts w:ascii="Calibri" w:hAnsi="Calibri" w:cs="Calibri"/>
          <w:color w:val="1F4E79" w:themeColor="accent1" w:themeShade="80"/>
          <w:sz w:val="22"/>
          <w:szCs w:val="22"/>
        </w:rPr>
        <w:t xml:space="preserve"> αντίστοιχ</w:t>
      </w:r>
      <w:r w:rsidR="00A518FE">
        <w:rPr>
          <w:rFonts w:ascii="Calibri" w:hAnsi="Calibri" w:cs="Calibri"/>
          <w:color w:val="1F4E79" w:themeColor="accent1" w:themeShade="80"/>
          <w:sz w:val="22"/>
          <w:szCs w:val="22"/>
        </w:rPr>
        <w:t>ο</w:t>
      </w:r>
      <w:r w:rsidR="00CE6CEB">
        <w:rPr>
          <w:rFonts w:ascii="Calibri" w:hAnsi="Calibri" w:cs="Calibri"/>
          <w:color w:val="1F4E79" w:themeColor="accent1" w:themeShade="80"/>
          <w:sz w:val="22"/>
          <w:szCs w:val="22"/>
        </w:rPr>
        <w:t xml:space="preserve"> τέλ</w:t>
      </w:r>
      <w:r w:rsidR="00A518FE">
        <w:rPr>
          <w:rFonts w:ascii="Calibri" w:hAnsi="Calibri" w:cs="Calibri"/>
          <w:color w:val="1F4E79" w:themeColor="accent1" w:themeShade="80"/>
          <w:sz w:val="22"/>
          <w:szCs w:val="22"/>
        </w:rPr>
        <w:t>ος</w:t>
      </w:r>
      <w:r w:rsidR="00CE6CEB">
        <w:rPr>
          <w:rFonts w:ascii="Calibri" w:hAnsi="Calibri" w:cs="Calibri"/>
          <w:color w:val="1F4E79" w:themeColor="accent1" w:themeShade="80"/>
          <w:sz w:val="22"/>
          <w:szCs w:val="22"/>
        </w:rPr>
        <w:t xml:space="preserve"> «</w:t>
      </w:r>
      <w:r w:rsidR="00CE6CEB" w:rsidRPr="00CE6CEB">
        <w:rPr>
          <w:rFonts w:ascii="Calibri" w:hAnsi="Calibri" w:cs="Calibri"/>
          <w:color w:val="1F4E79" w:themeColor="accent1" w:themeShade="80"/>
          <w:sz w:val="22"/>
          <w:szCs w:val="22"/>
        </w:rPr>
        <w:t>Εφάπαξ Τέλος Ακύρωσης Ενεργοποίησης FTTH σε μη υφιστάμενο BEP/Floor Box (μετά τον προγραμματισμό κατασκευής του BEP/Floor Box)</w:t>
      </w:r>
      <w:r w:rsidR="00CE6CEB">
        <w:rPr>
          <w:rFonts w:ascii="Calibri" w:hAnsi="Calibri" w:cs="Calibri"/>
          <w:color w:val="1F4E79" w:themeColor="accent1" w:themeShade="80"/>
          <w:sz w:val="22"/>
          <w:szCs w:val="22"/>
        </w:rPr>
        <w:t xml:space="preserve">» </w:t>
      </w:r>
      <w:r w:rsidR="00A518FE">
        <w:rPr>
          <w:rFonts w:ascii="Calibri" w:hAnsi="Calibri" w:cs="Calibri"/>
          <w:color w:val="1F4E79" w:themeColor="accent1" w:themeShade="80"/>
          <w:sz w:val="22"/>
          <w:szCs w:val="22"/>
        </w:rPr>
        <w:t xml:space="preserve">προς αποφυγή </w:t>
      </w:r>
      <w:proofErr w:type="spellStart"/>
      <w:r w:rsidR="00A518FE">
        <w:rPr>
          <w:rFonts w:ascii="Calibri" w:hAnsi="Calibri" w:cs="Calibri"/>
          <w:color w:val="1F4E79" w:themeColor="accent1" w:themeShade="80"/>
          <w:sz w:val="22"/>
          <w:szCs w:val="22"/>
        </w:rPr>
        <w:t>διπλομέτρησης</w:t>
      </w:r>
      <w:proofErr w:type="spellEnd"/>
      <w:r w:rsidR="00A518FE">
        <w:rPr>
          <w:rFonts w:ascii="Calibri" w:hAnsi="Calibri" w:cs="Calibri"/>
          <w:color w:val="1F4E79" w:themeColor="accent1" w:themeShade="80"/>
          <w:sz w:val="22"/>
          <w:szCs w:val="22"/>
        </w:rPr>
        <w:t xml:space="preserve"> κόστους.</w:t>
      </w:r>
    </w:p>
    <w:p w14:paraId="1FD50E00" w14:textId="38B8F38A" w:rsidR="00B478D1" w:rsidRPr="00B478D1" w:rsidRDefault="00B478D1" w:rsidP="00FF535F">
      <w:pPr>
        <w:pStyle w:val="Default"/>
        <w:spacing w:before="140" w:after="120"/>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Επιπρόσθετα, λαμβάνοντας υπόψη το σχόλιο του πρώτου συμμετέχοντα για την ενεργοποίηση </w:t>
      </w:r>
      <w:r>
        <w:rPr>
          <w:rFonts w:ascii="Calibri" w:hAnsi="Calibri" w:cs="Calibri"/>
          <w:color w:val="1F4E79" w:themeColor="accent1" w:themeShade="80"/>
          <w:sz w:val="22"/>
          <w:szCs w:val="22"/>
          <w:lang w:val="en-US"/>
        </w:rPr>
        <w:t>FTTH</w:t>
      </w:r>
      <w:r w:rsidRPr="00B478D1">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σε νοικοκυριά, όπου ήδη έχει ενεργοποιηθεί  στο παρελθόν και επομένως δεν απαιτείται νέα εγκατάσταση και μεταφορά τεχνικών, η ΕΕΤΤ θα προσθέσει στα εφάπαξ νέο αντίστοιχο τέλος «</w:t>
      </w:r>
      <w:r w:rsidRPr="00B478D1">
        <w:rPr>
          <w:rFonts w:ascii="Calibri" w:hAnsi="Calibri" w:cs="Calibri"/>
          <w:color w:val="1F4E79" w:themeColor="accent1" w:themeShade="80"/>
          <w:sz w:val="22"/>
          <w:szCs w:val="22"/>
        </w:rPr>
        <w:t>Εφάπαξ τέλος σύνδεσης υπηρεσιών VLU/</w:t>
      </w:r>
      <w:proofErr w:type="spellStart"/>
      <w:r w:rsidRPr="00B478D1">
        <w:rPr>
          <w:rFonts w:ascii="Calibri" w:hAnsi="Calibri" w:cs="Calibri"/>
          <w:color w:val="1F4E79" w:themeColor="accent1" w:themeShade="80"/>
          <w:sz w:val="22"/>
          <w:szCs w:val="22"/>
        </w:rPr>
        <w:t>FttΗ</w:t>
      </w:r>
      <w:proofErr w:type="spellEnd"/>
      <w:r w:rsidRPr="00B478D1">
        <w:rPr>
          <w:rFonts w:ascii="Calibri" w:hAnsi="Calibri" w:cs="Calibri"/>
          <w:color w:val="1F4E79" w:themeColor="accent1" w:themeShade="80"/>
          <w:sz w:val="22"/>
          <w:szCs w:val="22"/>
        </w:rPr>
        <w:t xml:space="preserve"> με υφιστάμενη εγκατάσταση (καλύπτει και FTTH/BRAS)</w:t>
      </w:r>
      <w:r>
        <w:rPr>
          <w:rFonts w:ascii="Calibri" w:hAnsi="Calibri" w:cs="Calibri"/>
          <w:color w:val="1F4E79" w:themeColor="accent1" w:themeShade="80"/>
          <w:sz w:val="22"/>
          <w:szCs w:val="22"/>
        </w:rPr>
        <w:t xml:space="preserve">» </w:t>
      </w:r>
    </w:p>
    <w:p w14:paraId="7234230C" w14:textId="1B8A46F1" w:rsidR="004A23A1" w:rsidRDefault="00A518FE" w:rsidP="00FF535F">
      <w:pPr>
        <w:pStyle w:val="Default"/>
        <w:spacing w:before="140" w:after="120"/>
        <w:rPr>
          <w:rFonts w:ascii="Calibri" w:hAnsi="Calibri" w:cs="Calibri"/>
          <w:color w:val="1F4E79" w:themeColor="accent1" w:themeShade="80"/>
          <w:sz w:val="22"/>
          <w:szCs w:val="22"/>
        </w:rPr>
      </w:pPr>
      <w:r>
        <w:rPr>
          <w:rFonts w:ascii="Calibri" w:hAnsi="Calibri" w:cs="Calibri"/>
          <w:color w:val="1F4E79" w:themeColor="accent1" w:themeShade="80"/>
          <w:sz w:val="22"/>
          <w:szCs w:val="22"/>
        </w:rPr>
        <w:t>Επίσης, η ΕΕΤΤ θα προσθέσει τις αντίστοιχες εργασίες που προτείνονται από τον δεύτερο συμμετέχοντα αναφορικά με το τέλος</w:t>
      </w:r>
      <w:r w:rsidR="00CE6CEB">
        <w:rPr>
          <w:rFonts w:ascii="Calibri" w:hAnsi="Calibri" w:cs="Calibri"/>
          <w:color w:val="1F4E79" w:themeColor="accent1" w:themeShade="80"/>
          <w:sz w:val="22"/>
          <w:szCs w:val="22"/>
        </w:rPr>
        <w:t xml:space="preserve"> «</w:t>
      </w:r>
      <w:r w:rsidR="00CE6CEB" w:rsidRPr="00CE6CEB">
        <w:rPr>
          <w:rFonts w:ascii="Calibri" w:hAnsi="Calibri" w:cs="Calibri"/>
          <w:color w:val="1F4E79" w:themeColor="accent1" w:themeShade="80"/>
          <w:sz w:val="22"/>
          <w:szCs w:val="22"/>
        </w:rPr>
        <w:t>Εφάπαξ Τέλος άσκοπης μετάβασης συνεργείου για Κατασκευή Οπτικής Υποδομής</w:t>
      </w:r>
      <w:r w:rsidR="00CE6CEB">
        <w:rPr>
          <w:rFonts w:ascii="Calibri" w:hAnsi="Calibri" w:cs="Calibri"/>
          <w:color w:val="1F4E79" w:themeColor="accent1" w:themeShade="80"/>
          <w:sz w:val="22"/>
          <w:szCs w:val="22"/>
        </w:rPr>
        <w:t>»</w:t>
      </w:r>
      <w:r>
        <w:rPr>
          <w:rFonts w:ascii="Calibri" w:hAnsi="Calibri" w:cs="Calibri"/>
          <w:color w:val="1F4E79" w:themeColor="accent1" w:themeShade="80"/>
          <w:sz w:val="22"/>
          <w:szCs w:val="22"/>
        </w:rPr>
        <w:t>.</w:t>
      </w:r>
    </w:p>
    <w:p w14:paraId="22D04326" w14:textId="435068B2" w:rsidR="00A518FE" w:rsidRDefault="00A518FE" w:rsidP="00FF535F">
      <w:pPr>
        <w:pStyle w:val="Default"/>
        <w:spacing w:before="140" w:after="120"/>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Τέλος, η ΕΕΤΤ κρίνει ότι δεν τίθεται θέμα </w:t>
      </w:r>
      <w:proofErr w:type="spellStart"/>
      <w:r>
        <w:rPr>
          <w:rFonts w:ascii="Calibri" w:hAnsi="Calibri" w:cs="Calibri"/>
          <w:color w:val="1F4E79" w:themeColor="accent1" w:themeShade="80"/>
          <w:sz w:val="22"/>
          <w:szCs w:val="22"/>
        </w:rPr>
        <w:t>διπλοχρέωσης</w:t>
      </w:r>
      <w:proofErr w:type="spellEnd"/>
      <w:r>
        <w:rPr>
          <w:rFonts w:ascii="Calibri" w:hAnsi="Calibri" w:cs="Calibri"/>
          <w:color w:val="1F4E79" w:themeColor="accent1" w:themeShade="80"/>
          <w:sz w:val="22"/>
          <w:szCs w:val="22"/>
        </w:rPr>
        <w:t xml:space="preserve"> σε άλλα τέλη, ενώ επίσης θεωρεί ότι δεν είναι σκόπιμη η δημιουργία νέου τέλους καθώς τα υπάρχοντα τέλη καλύπτουν τις περιπτώσεις </w:t>
      </w:r>
      <w:r w:rsidR="00194018">
        <w:rPr>
          <w:rFonts w:ascii="Calibri" w:hAnsi="Calibri" w:cs="Calibri"/>
          <w:color w:val="1F4E79" w:themeColor="accent1" w:themeShade="80"/>
          <w:sz w:val="22"/>
          <w:szCs w:val="22"/>
        </w:rPr>
        <w:t xml:space="preserve">που </w:t>
      </w:r>
      <w:r>
        <w:rPr>
          <w:rFonts w:ascii="Calibri" w:hAnsi="Calibri" w:cs="Calibri"/>
          <w:color w:val="1F4E79" w:themeColor="accent1" w:themeShade="80"/>
          <w:sz w:val="22"/>
          <w:szCs w:val="22"/>
        </w:rPr>
        <w:t xml:space="preserve">αναφέρει ο </w:t>
      </w:r>
      <w:r w:rsidR="00B478D1">
        <w:rPr>
          <w:rFonts w:ascii="Calibri" w:hAnsi="Calibri" w:cs="Calibri"/>
          <w:color w:val="1F4E79" w:themeColor="accent1" w:themeShade="80"/>
          <w:sz w:val="22"/>
          <w:szCs w:val="22"/>
        </w:rPr>
        <w:t xml:space="preserve">τελευταίος </w:t>
      </w:r>
      <w:r>
        <w:rPr>
          <w:rFonts w:ascii="Calibri" w:hAnsi="Calibri" w:cs="Calibri"/>
          <w:color w:val="1F4E79" w:themeColor="accent1" w:themeShade="80"/>
          <w:sz w:val="22"/>
          <w:szCs w:val="22"/>
        </w:rPr>
        <w:t>συμμετέχων.</w:t>
      </w:r>
    </w:p>
    <w:p w14:paraId="31107EE1" w14:textId="77777777" w:rsidR="005B233E" w:rsidRDefault="005B233E" w:rsidP="00FF535F">
      <w:pPr>
        <w:pStyle w:val="Default"/>
        <w:spacing w:before="140" w:after="120"/>
        <w:rPr>
          <w:rFonts w:ascii="Calibri" w:hAnsi="Calibri" w:cs="Calibri"/>
          <w:sz w:val="22"/>
          <w:szCs w:val="22"/>
        </w:rPr>
      </w:pPr>
    </w:p>
    <w:p w14:paraId="288C562F" w14:textId="3BA9B144" w:rsidR="009B5EEA" w:rsidRPr="002C406D" w:rsidRDefault="009B5EEA" w:rsidP="00392B3A">
      <w:pPr>
        <w:pStyle w:val="2"/>
        <w:keepNext w:val="0"/>
        <w:widowControl w:val="0"/>
        <w:numPr>
          <w:ilvl w:val="2"/>
          <w:numId w:val="8"/>
        </w:numPr>
        <w:tabs>
          <w:tab w:val="left" w:pos="720"/>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rPr>
        <w:t>Εφάπαξ Υπηρεσίες: Εκπτώσεις όγκου πολλαπλών &amp; μαζικών αιτημάτων</w:t>
      </w:r>
    </w:p>
    <w:p w14:paraId="34A17BD3" w14:textId="073D7518" w:rsidR="009058E1" w:rsidRDefault="009B5EEA" w:rsidP="008E26D2">
      <w:pPr>
        <w:pStyle w:val="Default"/>
        <w:spacing w:before="140" w:after="120"/>
        <w:rPr>
          <w:rFonts w:ascii="Calibri" w:hAnsi="Calibri" w:cs="Calibri"/>
          <w:sz w:val="22"/>
          <w:szCs w:val="22"/>
        </w:rPr>
      </w:pPr>
      <w:r>
        <w:rPr>
          <w:rFonts w:ascii="Calibri" w:hAnsi="Calibri" w:cs="Calibri"/>
          <w:sz w:val="22"/>
          <w:szCs w:val="22"/>
        </w:rPr>
        <w:t xml:space="preserve">Ένας πάροχος </w:t>
      </w:r>
      <w:r w:rsidR="003C28FC">
        <w:rPr>
          <w:rFonts w:ascii="Calibri" w:hAnsi="Calibri" w:cs="Calibri"/>
          <w:sz w:val="22"/>
          <w:szCs w:val="22"/>
        </w:rPr>
        <w:t>(----)</w:t>
      </w:r>
      <w:r>
        <w:rPr>
          <w:rFonts w:ascii="Calibri" w:hAnsi="Calibri" w:cs="Calibri"/>
          <w:sz w:val="22"/>
          <w:szCs w:val="22"/>
        </w:rPr>
        <w:t xml:space="preserve"> διαφωνεί με την πρόταση της ΕΕΤΤ περί εφαρμογής εκπτώσεων όγκου </w:t>
      </w:r>
      <w:r w:rsidRPr="009B5EEA">
        <w:rPr>
          <w:rFonts w:ascii="Calibri" w:hAnsi="Calibri" w:cs="Calibri"/>
          <w:sz w:val="22"/>
          <w:szCs w:val="22"/>
        </w:rPr>
        <w:t>που αφορούν πολλαπλές ή μαζικές ενεργοποιήσεις, βασιζόμενη στη θεωρία της καμπύλης εκμάθησης (</w:t>
      </w:r>
      <w:proofErr w:type="spellStart"/>
      <w:r w:rsidRPr="009B5EEA">
        <w:rPr>
          <w:rFonts w:ascii="Calibri" w:hAnsi="Calibri" w:cs="Calibri"/>
          <w:sz w:val="22"/>
          <w:szCs w:val="22"/>
        </w:rPr>
        <w:t>Learning</w:t>
      </w:r>
      <w:proofErr w:type="spellEnd"/>
      <w:r w:rsidRPr="009B5EEA">
        <w:rPr>
          <w:rFonts w:ascii="Calibri" w:hAnsi="Calibri" w:cs="Calibri"/>
          <w:sz w:val="22"/>
          <w:szCs w:val="22"/>
        </w:rPr>
        <w:t xml:space="preserve"> </w:t>
      </w:r>
      <w:proofErr w:type="spellStart"/>
      <w:r w:rsidRPr="009B5EEA">
        <w:rPr>
          <w:rFonts w:ascii="Calibri" w:hAnsi="Calibri" w:cs="Calibri"/>
          <w:sz w:val="22"/>
          <w:szCs w:val="22"/>
        </w:rPr>
        <w:t>Curve</w:t>
      </w:r>
      <w:proofErr w:type="spellEnd"/>
      <w:r w:rsidRPr="009B5EEA">
        <w:rPr>
          <w:rFonts w:ascii="Calibri" w:hAnsi="Calibri" w:cs="Calibri"/>
          <w:sz w:val="22"/>
          <w:szCs w:val="22"/>
        </w:rPr>
        <w:t xml:space="preserve"> </w:t>
      </w:r>
      <w:proofErr w:type="spellStart"/>
      <w:r w:rsidRPr="009B5EEA">
        <w:rPr>
          <w:rFonts w:ascii="Calibri" w:hAnsi="Calibri" w:cs="Calibri"/>
          <w:sz w:val="22"/>
          <w:szCs w:val="22"/>
        </w:rPr>
        <w:t>Theory</w:t>
      </w:r>
      <w:proofErr w:type="spellEnd"/>
      <w:r w:rsidRPr="009B5EEA">
        <w:rPr>
          <w:rFonts w:ascii="Calibri" w:hAnsi="Calibri" w:cs="Calibri"/>
          <w:sz w:val="22"/>
          <w:szCs w:val="22"/>
        </w:rPr>
        <w:t>),</w:t>
      </w:r>
      <w:r>
        <w:rPr>
          <w:rFonts w:ascii="Calibri" w:hAnsi="Calibri" w:cs="Calibri"/>
          <w:sz w:val="22"/>
          <w:szCs w:val="22"/>
        </w:rPr>
        <w:t xml:space="preserve"> </w:t>
      </w:r>
      <w:r w:rsidRPr="009B5EEA">
        <w:rPr>
          <w:rFonts w:ascii="Calibri" w:hAnsi="Calibri" w:cs="Calibri"/>
          <w:sz w:val="22"/>
          <w:szCs w:val="22"/>
        </w:rPr>
        <w:t xml:space="preserve">τονίζοντας ότι οι τηλεπικοινωνιακές εργασίες πεδίου δεν είναι επαναλαμβανόμενες αλλά εξαρτώνται από τοπικές συνθήκες και ad hoc ιδιαιτερότητες, άρα δεν ακολουθούν σταθερή καμπύλη μάθησης. Επισημαίνει επίσης ότι η εφαρμογή τέτοιων εκπτώσεων ενέχει κίνδυνο </w:t>
      </w:r>
      <w:proofErr w:type="spellStart"/>
      <w:r w:rsidRPr="009B5EEA">
        <w:rPr>
          <w:rFonts w:ascii="Calibri" w:hAnsi="Calibri" w:cs="Calibri"/>
          <w:sz w:val="22"/>
          <w:szCs w:val="22"/>
        </w:rPr>
        <w:t>διπλομέτρησης</w:t>
      </w:r>
      <w:proofErr w:type="spellEnd"/>
      <w:r w:rsidRPr="009B5EEA">
        <w:rPr>
          <w:rFonts w:ascii="Calibri" w:hAnsi="Calibri" w:cs="Calibri"/>
          <w:sz w:val="22"/>
          <w:szCs w:val="22"/>
        </w:rPr>
        <w:t>, καθώς το μοντέλο της ΕΕΤΤ ήδη περιλαμβάνει βελτιστοποιήσεις παραγωγικότητας στις αρχικές χρονομετρήσεις.</w:t>
      </w:r>
      <w:r>
        <w:rPr>
          <w:rFonts w:ascii="Calibri" w:hAnsi="Calibri" w:cs="Calibri"/>
          <w:sz w:val="22"/>
          <w:szCs w:val="22"/>
        </w:rPr>
        <w:t xml:space="preserve"> </w:t>
      </w:r>
      <w:r w:rsidR="009058E1">
        <w:rPr>
          <w:rFonts w:ascii="Calibri" w:hAnsi="Calibri" w:cs="Calibri"/>
          <w:sz w:val="22"/>
          <w:szCs w:val="22"/>
        </w:rPr>
        <w:t xml:space="preserve">Επιπλέον, υποστηρίζει ότι </w:t>
      </w:r>
      <w:r w:rsidR="009058E1" w:rsidRPr="009B5EEA">
        <w:rPr>
          <w:rFonts w:ascii="Calibri" w:hAnsi="Calibri" w:cs="Calibri"/>
          <w:sz w:val="22"/>
          <w:szCs w:val="22"/>
        </w:rPr>
        <w:t>για ορισμένες υπηρεσίες (όπως WLR, BRAS ή FTTC) δεν συντρέχουν οι προϋποθέσεις μαζικών αιτημάτω</w:t>
      </w:r>
      <w:r w:rsidR="009058E1">
        <w:rPr>
          <w:rFonts w:ascii="Calibri" w:hAnsi="Calibri" w:cs="Calibri"/>
          <w:sz w:val="22"/>
          <w:szCs w:val="22"/>
        </w:rPr>
        <w:t>ν, ενώ</w:t>
      </w:r>
      <w:r w:rsidR="009058E1" w:rsidRPr="009B5EEA">
        <w:rPr>
          <w:rFonts w:ascii="Calibri" w:hAnsi="Calibri" w:cs="Calibri"/>
          <w:sz w:val="22"/>
          <w:szCs w:val="22"/>
        </w:rPr>
        <w:t xml:space="preserve">, για το </w:t>
      </w:r>
      <w:proofErr w:type="spellStart"/>
      <w:r w:rsidR="009058E1" w:rsidRPr="009B5EEA">
        <w:rPr>
          <w:rFonts w:ascii="Calibri" w:hAnsi="Calibri" w:cs="Calibri"/>
          <w:sz w:val="22"/>
          <w:szCs w:val="22"/>
        </w:rPr>
        <w:t>copper</w:t>
      </w:r>
      <w:proofErr w:type="spellEnd"/>
      <w:r w:rsidR="009058E1" w:rsidRPr="009B5EEA">
        <w:rPr>
          <w:rFonts w:ascii="Calibri" w:hAnsi="Calibri" w:cs="Calibri"/>
          <w:sz w:val="22"/>
          <w:szCs w:val="22"/>
        </w:rPr>
        <w:t xml:space="preserve"> switch-off, ο ΟΤΕ αναλαμβάνει το κόστος των εφάπαξ τελών αποσύνδεσης, άρα αυτά δεν πρέπει να περιλαμβάνονται στα μαζικά τέλη.</w:t>
      </w:r>
    </w:p>
    <w:p w14:paraId="3736EFEC" w14:textId="346DC2E6" w:rsidR="009058E1" w:rsidRDefault="009B5EEA" w:rsidP="008E26D2">
      <w:pPr>
        <w:pStyle w:val="Default"/>
        <w:spacing w:before="140" w:after="120"/>
        <w:rPr>
          <w:rFonts w:ascii="Calibri" w:hAnsi="Calibri" w:cs="Calibri"/>
          <w:sz w:val="22"/>
          <w:szCs w:val="22"/>
        </w:rPr>
      </w:pPr>
      <w:r>
        <w:rPr>
          <w:rFonts w:ascii="Calibri" w:hAnsi="Calibri" w:cs="Calibri"/>
          <w:sz w:val="22"/>
          <w:szCs w:val="22"/>
        </w:rPr>
        <w:t>Αντ’ αυτού ο πάροχος προτείνει ο</w:t>
      </w:r>
      <w:r w:rsidRPr="009B5EEA">
        <w:rPr>
          <w:rFonts w:ascii="Calibri" w:hAnsi="Calibri" w:cs="Calibri"/>
          <w:sz w:val="22"/>
          <w:szCs w:val="22"/>
        </w:rPr>
        <w:t>ι εκπτώσεις να εφαρμόζονται μόνο όπου μπορούν πράγματι να προκύψουν οικονομίες κλίμακας, δηλαδή εφόσον υποβληθούν ομαδοποιημένα τουλάχιστον τρία και έως δέκα αιτήματα από τον ίδιο πάροχο</w:t>
      </w:r>
      <w:r w:rsidR="009058E1">
        <w:rPr>
          <w:rFonts w:ascii="Calibri" w:hAnsi="Calibri" w:cs="Calibri"/>
          <w:sz w:val="22"/>
          <w:szCs w:val="22"/>
        </w:rPr>
        <w:t>,</w:t>
      </w:r>
      <w:r w:rsidR="009058E1" w:rsidRPr="009058E1">
        <w:rPr>
          <w:rFonts w:ascii="Calibri" w:hAnsi="Calibri" w:cs="Calibri"/>
          <w:sz w:val="22"/>
          <w:szCs w:val="22"/>
        </w:rPr>
        <w:t xml:space="preserve"> </w:t>
      </w:r>
      <w:r w:rsidR="009058E1" w:rsidRPr="009B5EEA">
        <w:rPr>
          <w:rFonts w:ascii="Calibri" w:hAnsi="Calibri" w:cs="Calibri"/>
          <w:sz w:val="22"/>
          <w:szCs w:val="22"/>
        </w:rPr>
        <w:t>σε επίπεδο καμπίνας ή κτιρίου</w:t>
      </w:r>
      <w:r w:rsidRPr="009B5EEA">
        <w:rPr>
          <w:rFonts w:ascii="Calibri" w:hAnsi="Calibri" w:cs="Calibri"/>
          <w:sz w:val="22"/>
          <w:szCs w:val="22"/>
        </w:rPr>
        <w:t xml:space="preserve">. Για τις περιπτώσεις αυτές προτείνει </w:t>
      </w:r>
      <w:r w:rsidR="009058E1">
        <w:rPr>
          <w:rFonts w:ascii="Calibri" w:hAnsi="Calibri" w:cs="Calibri"/>
          <w:sz w:val="22"/>
          <w:szCs w:val="22"/>
        </w:rPr>
        <w:t>την παροχή έκπτωσης που προκύπτει από την ομαδοποίηση όλων των αιτημάτων ενός διακριτού εφάπαξ τέλους σε επίπεδο καμπίνας ή κτιρίου «</w:t>
      </w:r>
      <w:r w:rsidR="009058E1" w:rsidRPr="009058E1">
        <w:rPr>
          <w:rFonts w:ascii="Calibri" w:hAnsi="Calibri" w:cs="Calibri"/>
          <w:sz w:val="22"/>
          <w:szCs w:val="22"/>
        </w:rPr>
        <w:t>Εφάπαξ τέλος σύνδεσης υπηρεσιών VLU/</w:t>
      </w:r>
      <w:proofErr w:type="spellStart"/>
      <w:r w:rsidR="009058E1" w:rsidRPr="009058E1">
        <w:rPr>
          <w:rFonts w:ascii="Calibri" w:hAnsi="Calibri" w:cs="Calibri"/>
          <w:sz w:val="22"/>
          <w:szCs w:val="22"/>
        </w:rPr>
        <w:t>FttΗ</w:t>
      </w:r>
      <w:proofErr w:type="spellEnd"/>
      <w:r w:rsidR="009058E1" w:rsidRPr="009058E1">
        <w:rPr>
          <w:rFonts w:ascii="Calibri" w:hAnsi="Calibri" w:cs="Calibri"/>
          <w:sz w:val="22"/>
          <w:szCs w:val="22"/>
        </w:rPr>
        <w:t xml:space="preserve"> (καλύπτει και FTTH/BRAS)</w:t>
      </w:r>
      <w:r w:rsidR="009058E1">
        <w:rPr>
          <w:rFonts w:ascii="Calibri" w:hAnsi="Calibri" w:cs="Calibri"/>
          <w:sz w:val="22"/>
          <w:szCs w:val="22"/>
        </w:rPr>
        <w:t xml:space="preserve">» </w:t>
      </w:r>
      <w:r w:rsidR="009058E1" w:rsidRPr="009058E1">
        <w:rPr>
          <w:rFonts w:ascii="Calibri" w:hAnsi="Calibri" w:cs="Calibri"/>
          <w:sz w:val="22"/>
          <w:szCs w:val="22"/>
        </w:rPr>
        <w:t xml:space="preserve">για τα οποία εφόσον υποβληθούν ταυτόχρονα από τον ίδιο Πάροχο κατ’ ελάχιστον 3 αιτήματα, με μέγιστο τα 10 αιτήματα, για το ίδιο επίπεδο δικτύου (καμπίνα ή κτίριο ανάλογα με το αίτημα) </w:t>
      </w:r>
      <w:r w:rsidR="009058E1" w:rsidRPr="009058E1">
        <w:rPr>
          <w:rFonts w:ascii="Calibri" w:hAnsi="Calibri" w:cs="Calibri"/>
          <w:sz w:val="22"/>
          <w:szCs w:val="22"/>
        </w:rPr>
        <w:lastRenderedPageBreak/>
        <w:t>το πρώτο αίτημα κοστολογείται και αντίστοιχα χρεώνεται με βάση την χρέωση του μεμονωμένου αιτήματος, ενώ για τα επόμενα αιτήματα η χρέωση προκύπτει θέτοντας ίσο με το μηδέν τον χρόνο μετάβασης τεχνικού.</w:t>
      </w:r>
    </w:p>
    <w:p w14:paraId="1F76DF5D" w14:textId="7916E5FB" w:rsidR="00392B3A" w:rsidRDefault="00392B3A" w:rsidP="008E26D2">
      <w:pPr>
        <w:pStyle w:val="Default"/>
        <w:spacing w:before="140" w:after="120"/>
        <w:rPr>
          <w:rFonts w:ascii="Calibri" w:hAnsi="Calibri" w:cs="Calibri"/>
          <w:sz w:val="22"/>
          <w:szCs w:val="22"/>
        </w:rPr>
      </w:pPr>
      <w:r>
        <w:rPr>
          <w:rFonts w:ascii="Calibri" w:hAnsi="Calibri" w:cs="Calibri"/>
          <w:sz w:val="22"/>
          <w:szCs w:val="22"/>
        </w:rPr>
        <w:t xml:space="preserve">Ένας πάροχος </w:t>
      </w:r>
      <w:r w:rsidR="003C28FC">
        <w:rPr>
          <w:rFonts w:ascii="Calibri" w:hAnsi="Calibri" w:cs="Calibri"/>
          <w:sz w:val="22"/>
          <w:szCs w:val="22"/>
        </w:rPr>
        <w:t>(----)</w:t>
      </w:r>
      <w:r w:rsidRPr="00392B3A">
        <w:rPr>
          <w:rFonts w:ascii="Calibri" w:hAnsi="Calibri" w:cs="Calibri"/>
          <w:sz w:val="22"/>
          <w:szCs w:val="22"/>
        </w:rPr>
        <w:t xml:space="preserve"> ζητά σαφή ορισμό των προϋποθέσεων ενεργοποίησης της έκπτωσης, όπως τον ελάχιστο αριθμό αιτημάτων και το αν μπορούν να προέρχονται από διαφορετικές κατηγορίες υπηρεσιών. Επιπλέον, για τη διαδικασία του </w:t>
      </w:r>
      <w:proofErr w:type="spellStart"/>
      <w:r w:rsidRPr="00392B3A">
        <w:rPr>
          <w:rFonts w:ascii="Calibri" w:hAnsi="Calibri" w:cs="Calibri"/>
          <w:sz w:val="22"/>
          <w:szCs w:val="22"/>
        </w:rPr>
        <w:t>copper</w:t>
      </w:r>
      <w:proofErr w:type="spellEnd"/>
      <w:r w:rsidRPr="00392B3A">
        <w:rPr>
          <w:rFonts w:ascii="Calibri" w:hAnsi="Calibri" w:cs="Calibri"/>
          <w:sz w:val="22"/>
          <w:szCs w:val="22"/>
        </w:rPr>
        <w:t xml:space="preserve"> switch-off, επισημαίνει ότι στα μεγάλα Αστικά Κέντρα η μετάβαση από χαλκό σε FTTH θα απαιτήσει χιλιάδες μεταβάσεις, γεγονός που καθιστά αναγκαία τη διεύρυνση των ορίων για τις εκπτώσεις. Προτείνει οι εκπτώσεις να εφαρμόζονται σωρευτικά για αιτήματα που υποβάλλονται από περισσότερους παρόχους, και να ενεργοποιούνται αυτόματα από την ημερομηνία ανακοίνωσης του switch-off, υπολογιζόμενες επί του 50% του κόστους που επιβαρύνει τον πάροχο λιανικής.</w:t>
      </w:r>
    </w:p>
    <w:p w14:paraId="75E0C739" w14:textId="10EDC483" w:rsidR="008E26D2" w:rsidRPr="008E26D2" w:rsidRDefault="008E26D2" w:rsidP="008E26D2">
      <w:pPr>
        <w:pStyle w:val="Default"/>
        <w:spacing w:before="140" w:after="120"/>
        <w:rPr>
          <w:rFonts w:ascii="Calibri" w:hAnsi="Calibri" w:cs="Calibri"/>
          <w:sz w:val="22"/>
          <w:szCs w:val="22"/>
        </w:rPr>
      </w:pPr>
      <w:r w:rsidRPr="008E26D2">
        <w:rPr>
          <w:rFonts w:ascii="Calibri" w:hAnsi="Calibri" w:cs="Calibri"/>
          <w:sz w:val="22"/>
          <w:szCs w:val="22"/>
        </w:rPr>
        <w:t xml:space="preserve">Ένας συμμετέχων </w:t>
      </w:r>
      <w:r w:rsidR="003C28FC">
        <w:rPr>
          <w:rFonts w:ascii="Calibri" w:hAnsi="Calibri" w:cs="Calibri"/>
          <w:sz w:val="22"/>
          <w:szCs w:val="22"/>
        </w:rPr>
        <w:t>(----)</w:t>
      </w:r>
      <w:r w:rsidRPr="008E26D2">
        <w:rPr>
          <w:rFonts w:ascii="Calibri" w:hAnsi="Calibri" w:cs="Calibri"/>
          <w:sz w:val="22"/>
          <w:szCs w:val="22"/>
        </w:rPr>
        <w:t xml:space="preserve"> επισημαίνει ότι στη λίστα με τα Εφάπαξ Τέλη Πολλαπλών Αιτημάτων καθώς και των Μαζικών Μεταβάσεων πρέπει να προβλεφθεί κατά αναλογία του “Εφάπαξ τέλους μετάβασης από Πλήρη τοπικό βρόχο σε υπηρεσίες VLU/</w:t>
      </w:r>
      <w:proofErr w:type="spellStart"/>
      <w:r w:rsidRPr="008E26D2">
        <w:rPr>
          <w:rFonts w:ascii="Calibri" w:hAnsi="Calibri" w:cs="Calibri"/>
          <w:sz w:val="22"/>
          <w:szCs w:val="22"/>
        </w:rPr>
        <w:t>FttC</w:t>
      </w:r>
      <w:proofErr w:type="spellEnd"/>
      <w:r w:rsidRPr="008E26D2">
        <w:rPr>
          <w:rFonts w:ascii="Calibri" w:hAnsi="Calibri" w:cs="Calibri"/>
          <w:sz w:val="22"/>
          <w:szCs w:val="22"/>
        </w:rPr>
        <w:t xml:space="preserve">” και “Εφάπαξ τέλος μετάβασης από Πλήρη τοπικό βρόχο σε υπηρεσίες </w:t>
      </w:r>
      <w:proofErr w:type="spellStart"/>
      <w:r w:rsidRPr="008E26D2">
        <w:rPr>
          <w:rFonts w:ascii="Calibri" w:hAnsi="Calibri" w:cs="Calibri"/>
          <w:sz w:val="22"/>
          <w:szCs w:val="22"/>
        </w:rPr>
        <w:t>ΤοΥΒ</w:t>
      </w:r>
      <w:proofErr w:type="spellEnd"/>
      <w:r w:rsidRPr="008E26D2">
        <w:rPr>
          <w:rFonts w:ascii="Calibri" w:hAnsi="Calibri" w:cs="Calibri"/>
          <w:sz w:val="22"/>
          <w:szCs w:val="22"/>
        </w:rPr>
        <w:t xml:space="preserve"> στο πλαίσιο παροχής υπηρεσιών VLU/FTTC”. Το πλήθος των αιτημάτων που θα λογίζονται ως πολλαπλά καθώς και τα είδη των μεταβάσεων/ ενεργοποιήσεων που θα εμπίπτουν στην ανωτέρω κατηγορία θα καθορίζονται από τον Πάροχο Πρόσβασης ο οποίος και θα αξιολογεί αν εντάσσονται στην διαδικασία παρόπλισης του δικτύου χαλκού. Ενδεικτικά, τα παρακάτω εφάπαξ τέλη θα αξιολογούνται ως προς τη συμβολή τους στη διαδικασία μετάβασης τεχνολογίας:</w:t>
      </w:r>
    </w:p>
    <w:p w14:paraId="4B47C2BA" w14:textId="77777777" w:rsidR="008E26D2" w:rsidRPr="008E26D2" w:rsidRDefault="008E26D2" w:rsidP="008E26D2">
      <w:pPr>
        <w:pStyle w:val="Default"/>
        <w:numPr>
          <w:ilvl w:val="0"/>
          <w:numId w:val="13"/>
        </w:numPr>
        <w:spacing w:before="140" w:after="120"/>
        <w:rPr>
          <w:rFonts w:ascii="Calibri" w:hAnsi="Calibri" w:cs="Calibri"/>
          <w:sz w:val="22"/>
          <w:szCs w:val="22"/>
        </w:rPr>
      </w:pPr>
      <w:r w:rsidRPr="008E26D2">
        <w:rPr>
          <w:rFonts w:ascii="Calibri" w:hAnsi="Calibri" w:cs="Calibri"/>
          <w:sz w:val="22"/>
          <w:szCs w:val="22"/>
        </w:rPr>
        <w:t>Εφάπαξ τέλος μετάβασης από υπηρεσίες VLU/</w:t>
      </w:r>
      <w:proofErr w:type="spellStart"/>
      <w:r w:rsidRPr="008E26D2">
        <w:rPr>
          <w:rFonts w:ascii="Calibri" w:hAnsi="Calibri" w:cs="Calibri"/>
          <w:sz w:val="22"/>
          <w:szCs w:val="22"/>
        </w:rPr>
        <w:t>FttC</w:t>
      </w:r>
      <w:proofErr w:type="spellEnd"/>
      <w:r w:rsidRPr="008E26D2">
        <w:rPr>
          <w:rFonts w:ascii="Calibri" w:hAnsi="Calibri" w:cs="Calibri"/>
          <w:sz w:val="22"/>
          <w:szCs w:val="22"/>
        </w:rPr>
        <w:t xml:space="preserve"> (ΤΠ1) σε υπηρεσίες VLU/</w:t>
      </w:r>
      <w:proofErr w:type="spellStart"/>
      <w:r w:rsidRPr="008E26D2">
        <w:rPr>
          <w:rFonts w:ascii="Calibri" w:hAnsi="Calibri" w:cs="Calibri"/>
          <w:sz w:val="22"/>
          <w:szCs w:val="22"/>
        </w:rPr>
        <w:t>FttC</w:t>
      </w:r>
      <w:proofErr w:type="spellEnd"/>
      <w:r w:rsidRPr="008E26D2">
        <w:rPr>
          <w:rFonts w:ascii="Calibri" w:hAnsi="Calibri" w:cs="Calibri"/>
          <w:sz w:val="22"/>
          <w:szCs w:val="22"/>
        </w:rPr>
        <w:t xml:space="preserve"> (ΤΠ2) </w:t>
      </w:r>
    </w:p>
    <w:p w14:paraId="1B063E80" w14:textId="77777777" w:rsidR="008E26D2" w:rsidRPr="008E26D2" w:rsidRDefault="008E26D2" w:rsidP="008E26D2">
      <w:pPr>
        <w:pStyle w:val="Default"/>
        <w:numPr>
          <w:ilvl w:val="0"/>
          <w:numId w:val="13"/>
        </w:numPr>
        <w:spacing w:before="140" w:after="120"/>
        <w:rPr>
          <w:rFonts w:ascii="Calibri" w:hAnsi="Calibri" w:cs="Calibri"/>
          <w:sz w:val="22"/>
          <w:szCs w:val="22"/>
        </w:rPr>
      </w:pPr>
      <w:r w:rsidRPr="008E26D2">
        <w:rPr>
          <w:rFonts w:ascii="Calibri" w:hAnsi="Calibri" w:cs="Calibri"/>
          <w:sz w:val="22"/>
          <w:szCs w:val="22"/>
        </w:rPr>
        <w:t>Εφάπαξ τέλος αλλαγής ταχύτητας σε υπηρεσίες VLU/</w:t>
      </w:r>
      <w:proofErr w:type="spellStart"/>
      <w:r w:rsidRPr="008E26D2">
        <w:rPr>
          <w:rFonts w:ascii="Calibri" w:hAnsi="Calibri" w:cs="Calibri"/>
          <w:sz w:val="22"/>
          <w:szCs w:val="22"/>
        </w:rPr>
        <w:t>FttC</w:t>
      </w:r>
      <w:proofErr w:type="spellEnd"/>
      <w:r w:rsidRPr="008E26D2">
        <w:rPr>
          <w:rFonts w:ascii="Calibri" w:hAnsi="Calibri" w:cs="Calibri"/>
          <w:sz w:val="22"/>
          <w:szCs w:val="22"/>
        </w:rPr>
        <w:t xml:space="preserve"> </w:t>
      </w:r>
    </w:p>
    <w:p w14:paraId="599881AD" w14:textId="77777777" w:rsidR="008E26D2" w:rsidRPr="008E26D2" w:rsidRDefault="008E26D2" w:rsidP="008E26D2">
      <w:pPr>
        <w:pStyle w:val="Default"/>
        <w:numPr>
          <w:ilvl w:val="0"/>
          <w:numId w:val="13"/>
        </w:numPr>
        <w:spacing w:before="140" w:after="120"/>
        <w:rPr>
          <w:rFonts w:ascii="Calibri" w:hAnsi="Calibri" w:cs="Calibri"/>
          <w:sz w:val="22"/>
          <w:szCs w:val="22"/>
        </w:rPr>
      </w:pPr>
      <w:r w:rsidRPr="008E26D2">
        <w:rPr>
          <w:rFonts w:ascii="Calibri" w:hAnsi="Calibri" w:cs="Calibri"/>
          <w:sz w:val="22"/>
          <w:szCs w:val="22"/>
        </w:rPr>
        <w:t>Εφάπαξ τέλος μετάβασης από υπηρεσίες VLU/</w:t>
      </w:r>
      <w:proofErr w:type="spellStart"/>
      <w:r w:rsidRPr="008E26D2">
        <w:rPr>
          <w:rFonts w:ascii="Calibri" w:hAnsi="Calibri" w:cs="Calibri"/>
          <w:sz w:val="22"/>
          <w:szCs w:val="22"/>
        </w:rPr>
        <w:t>FttΗ</w:t>
      </w:r>
      <w:proofErr w:type="spellEnd"/>
      <w:r w:rsidRPr="008E26D2">
        <w:rPr>
          <w:rFonts w:ascii="Calibri" w:hAnsi="Calibri" w:cs="Calibri"/>
          <w:sz w:val="22"/>
          <w:szCs w:val="22"/>
        </w:rPr>
        <w:t xml:space="preserve"> (ΤΠ1) σε υπηρεσίες VLU/</w:t>
      </w:r>
      <w:proofErr w:type="spellStart"/>
      <w:r w:rsidRPr="008E26D2">
        <w:rPr>
          <w:rFonts w:ascii="Calibri" w:hAnsi="Calibri" w:cs="Calibri"/>
          <w:sz w:val="22"/>
          <w:szCs w:val="22"/>
        </w:rPr>
        <w:t>FttΗ</w:t>
      </w:r>
      <w:proofErr w:type="spellEnd"/>
      <w:r w:rsidRPr="008E26D2">
        <w:rPr>
          <w:rFonts w:ascii="Calibri" w:hAnsi="Calibri" w:cs="Calibri"/>
          <w:sz w:val="22"/>
          <w:szCs w:val="22"/>
        </w:rPr>
        <w:t xml:space="preserve"> (ΤΠ2) </w:t>
      </w:r>
    </w:p>
    <w:p w14:paraId="4AB3A722" w14:textId="77777777" w:rsidR="008E26D2" w:rsidRPr="008E26D2" w:rsidRDefault="008E26D2" w:rsidP="008E26D2">
      <w:pPr>
        <w:pStyle w:val="Default"/>
        <w:numPr>
          <w:ilvl w:val="0"/>
          <w:numId w:val="13"/>
        </w:numPr>
        <w:spacing w:before="140" w:after="120"/>
        <w:rPr>
          <w:rFonts w:ascii="Calibri" w:hAnsi="Calibri" w:cs="Calibri"/>
          <w:sz w:val="22"/>
          <w:szCs w:val="22"/>
        </w:rPr>
      </w:pPr>
      <w:r w:rsidRPr="008E26D2">
        <w:rPr>
          <w:rFonts w:ascii="Calibri" w:hAnsi="Calibri" w:cs="Calibri"/>
          <w:sz w:val="22"/>
          <w:szCs w:val="22"/>
        </w:rPr>
        <w:t>Εφάπαξ τέλος αλλαγής ταχύτητας σε υπηρεσίες VLU/</w:t>
      </w:r>
      <w:proofErr w:type="spellStart"/>
      <w:r w:rsidRPr="008E26D2">
        <w:rPr>
          <w:rFonts w:ascii="Calibri" w:hAnsi="Calibri" w:cs="Calibri"/>
          <w:sz w:val="22"/>
          <w:szCs w:val="22"/>
        </w:rPr>
        <w:t>FttH</w:t>
      </w:r>
      <w:proofErr w:type="spellEnd"/>
      <w:r w:rsidRPr="008E26D2">
        <w:rPr>
          <w:rFonts w:ascii="Calibri" w:hAnsi="Calibri" w:cs="Calibri"/>
          <w:sz w:val="22"/>
          <w:szCs w:val="22"/>
        </w:rPr>
        <w:t xml:space="preserve"> και αλλαγή σειριακού αριθμού ΟΝΤ </w:t>
      </w:r>
    </w:p>
    <w:p w14:paraId="4EC18A9E" w14:textId="77777777" w:rsidR="00924019" w:rsidRPr="0066490C" w:rsidRDefault="00924019" w:rsidP="00924019">
      <w:pPr>
        <w:pStyle w:val="Default"/>
        <w:rPr>
          <w:rFonts w:ascii="Calibri" w:hAnsi="Calibri" w:cs="Calibri"/>
          <w:b/>
          <w:color w:val="1F4E79" w:themeColor="accent1" w:themeShade="80"/>
          <w:sz w:val="22"/>
          <w:szCs w:val="22"/>
          <w:u w:val="single"/>
        </w:rPr>
      </w:pPr>
    </w:p>
    <w:p w14:paraId="71EFA3FD" w14:textId="169D8B46"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8757F1">
        <w:rPr>
          <w:rFonts w:ascii="Calibri" w:hAnsi="Calibri" w:cs="Calibri"/>
          <w:b/>
          <w:color w:val="1F4E79" w:themeColor="accent1" w:themeShade="80"/>
          <w:sz w:val="22"/>
          <w:szCs w:val="22"/>
          <w:u w:val="single"/>
        </w:rPr>
        <w:t>18</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39623A6C" w14:textId="0D83A586" w:rsidR="00F5396D" w:rsidRDefault="008757F1" w:rsidP="008757F1">
      <w:pPr>
        <w:pStyle w:val="ab"/>
        <w:spacing w:before="140"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Αναφορικά με το σχόλιο ενός συμμετέχοντα για την εφαρμογή της μεθοδολογίας καμπύλης εκμάθησης, η ΕΕΤΤ εμμένει στην υπάρχουσα μεθοδολογία υπολογισμού</w:t>
      </w:r>
      <w:r w:rsidR="00F5396D">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καθώς η εν λόγω μεθοδολογία δεν σχετίζεται</w:t>
      </w:r>
      <w:r w:rsidR="00F5396D">
        <w:rPr>
          <w:rFonts w:ascii="Calibri" w:hAnsi="Calibri" w:cs="Calibri"/>
          <w:color w:val="1F4E79" w:themeColor="accent1" w:themeShade="80"/>
          <w:sz w:val="22"/>
          <w:szCs w:val="22"/>
        </w:rPr>
        <w:t xml:space="preserve"> αποκλειστικά με ανθρώπινη μάθηση</w:t>
      </w:r>
      <w:r w:rsidR="00B478D1">
        <w:rPr>
          <w:rFonts w:ascii="Calibri" w:hAnsi="Calibri" w:cs="Calibri"/>
          <w:color w:val="1F4E79" w:themeColor="accent1" w:themeShade="80"/>
          <w:sz w:val="22"/>
          <w:szCs w:val="22"/>
        </w:rPr>
        <w:t>,</w:t>
      </w:r>
      <w:r w:rsidR="00F5396D">
        <w:rPr>
          <w:rFonts w:ascii="Calibri" w:hAnsi="Calibri" w:cs="Calibri"/>
          <w:color w:val="1F4E79" w:themeColor="accent1" w:themeShade="80"/>
          <w:sz w:val="22"/>
          <w:szCs w:val="22"/>
        </w:rPr>
        <w:t xml:space="preserve"> αλλά γενικά με βελτιστοποιήσεις συστημάτων και διαδικασιών που στην περίπτωση των τηλεπικοινωνιακών δικτύων αφορούν κοντινές τοποθεσίες και επαναλαμβανόμενες εργασίες σε μικρό χρονικό διάστημα. </w:t>
      </w:r>
    </w:p>
    <w:p w14:paraId="1EA368D9" w14:textId="3F15D808" w:rsidR="003E47FB" w:rsidRPr="003E47FB" w:rsidRDefault="003E47FB" w:rsidP="008757F1">
      <w:pPr>
        <w:pStyle w:val="ab"/>
        <w:spacing w:before="140"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Αξίζει επίσης να σημειωθεί ότι τ</w:t>
      </w:r>
      <w:r w:rsidRPr="003E47FB">
        <w:rPr>
          <w:rFonts w:ascii="Calibri" w:hAnsi="Calibri" w:cs="Calibri"/>
          <w:color w:val="1F4E79" w:themeColor="accent1" w:themeShade="80"/>
          <w:sz w:val="22"/>
          <w:szCs w:val="22"/>
        </w:rPr>
        <w:t xml:space="preserve">ο πλήθος των επαναλήψεων ανά ημέρα σε επίπεδο αστικού κέντρου και καμπίνας έχουν υπολογιστεί βάσει της χρονικής διάρκειας του </w:t>
      </w:r>
      <w:proofErr w:type="spellStart"/>
      <w:r w:rsidRPr="003E47FB">
        <w:rPr>
          <w:rFonts w:ascii="Calibri" w:hAnsi="Calibri" w:cs="Calibri"/>
          <w:color w:val="1F4E79" w:themeColor="accent1" w:themeShade="80"/>
          <w:sz w:val="22"/>
          <w:szCs w:val="22"/>
        </w:rPr>
        <w:t>copper</w:t>
      </w:r>
      <w:proofErr w:type="spellEnd"/>
      <w:r w:rsidRPr="003E47FB">
        <w:rPr>
          <w:rFonts w:ascii="Calibri" w:hAnsi="Calibri" w:cs="Calibri"/>
          <w:color w:val="1F4E79" w:themeColor="accent1" w:themeShade="80"/>
          <w:sz w:val="22"/>
          <w:szCs w:val="22"/>
        </w:rPr>
        <w:t xml:space="preserve"> switch-off </w:t>
      </w:r>
      <w:r>
        <w:rPr>
          <w:rFonts w:ascii="Calibri" w:hAnsi="Calibri" w:cs="Calibri"/>
          <w:color w:val="1F4E79" w:themeColor="accent1" w:themeShade="80"/>
          <w:sz w:val="22"/>
          <w:szCs w:val="22"/>
        </w:rPr>
        <w:t xml:space="preserve">ανά είδος ΑΚ </w:t>
      </w:r>
      <w:r w:rsidRPr="003E47FB">
        <w:rPr>
          <w:rFonts w:ascii="Calibri" w:hAnsi="Calibri" w:cs="Calibri"/>
          <w:color w:val="1F4E79" w:themeColor="accent1" w:themeShade="80"/>
          <w:sz w:val="22"/>
          <w:szCs w:val="22"/>
        </w:rPr>
        <w:t xml:space="preserve">και του πλήθους των ενεργών γραμμών στα μεγαλύτερα ΑΚ, όπου θα πραγματοποιηθεί το </w:t>
      </w:r>
      <w:r w:rsidR="00500821">
        <w:rPr>
          <w:rFonts w:ascii="Calibri" w:hAnsi="Calibri" w:cs="Calibri"/>
          <w:color w:val="1F4E79" w:themeColor="accent1" w:themeShade="80"/>
          <w:sz w:val="22"/>
          <w:szCs w:val="22"/>
          <w:lang w:val="en-US"/>
        </w:rPr>
        <w:t>copper</w:t>
      </w:r>
      <w:r w:rsidR="00500821" w:rsidRPr="00500821">
        <w:rPr>
          <w:rFonts w:ascii="Calibri" w:hAnsi="Calibri" w:cs="Calibri"/>
          <w:color w:val="1F4E79" w:themeColor="accent1" w:themeShade="80"/>
          <w:sz w:val="22"/>
          <w:szCs w:val="22"/>
        </w:rPr>
        <w:t xml:space="preserve"> </w:t>
      </w:r>
      <w:r w:rsidRPr="003E47FB">
        <w:rPr>
          <w:rFonts w:ascii="Calibri" w:hAnsi="Calibri" w:cs="Calibri"/>
          <w:color w:val="1F4E79" w:themeColor="accent1" w:themeShade="80"/>
          <w:sz w:val="22"/>
          <w:szCs w:val="22"/>
        </w:rPr>
        <w:t>switch-off τα επόμενα έτη.</w:t>
      </w:r>
    </w:p>
    <w:p w14:paraId="6B1CB12A" w14:textId="63376684" w:rsidR="00F5396D" w:rsidRPr="00F5396D" w:rsidRDefault="00F5396D" w:rsidP="008757F1">
      <w:pPr>
        <w:pStyle w:val="ab"/>
        <w:spacing w:before="140"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lastRenderedPageBreak/>
        <w:t xml:space="preserve">Σχετικά με τα όρια για την ενεργοποίηση των εκπτώσεων στη περίπτωση πολλαπλών αιτημάτων και λαμβάνοντας υπόψη τα σχόλια των συμμετεχόντων, η ΕΕΤΤ θα θέσει ελάχιστο όριο ανάλογα τη φύση των εργασιών που εμπλέκονται στα αντίστοιχα εφάπαξ τέλη. Ενώ, η ενεργοποίηση των εκπτώσεων στην περίπτωση των μαζικών τελών θα ενεργοποιείται αυτόματα με την εκκίνηση της διαδικασίας </w:t>
      </w:r>
      <w:r w:rsidR="00500821">
        <w:rPr>
          <w:rFonts w:ascii="Calibri" w:hAnsi="Calibri" w:cs="Calibri"/>
          <w:color w:val="1F4E79" w:themeColor="accent1" w:themeShade="80"/>
          <w:sz w:val="22"/>
          <w:szCs w:val="22"/>
          <w:lang w:val="en-US"/>
        </w:rPr>
        <w:t>copper</w:t>
      </w:r>
      <w:r w:rsidR="00500821" w:rsidRPr="00500821">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switch</w:t>
      </w:r>
      <w:r w:rsidRPr="00F5396D">
        <w:rPr>
          <w:rFonts w:ascii="Calibri" w:hAnsi="Calibri" w:cs="Calibri"/>
          <w:color w:val="1F4E79" w:themeColor="accent1" w:themeShade="80"/>
          <w:sz w:val="22"/>
          <w:szCs w:val="22"/>
        </w:rPr>
        <w:t>-</w:t>
      </w:r>
      <w:r>
        <w:rPr>
          <w:rFonts w:ascii="Calibri" w:hAnsi="Calibri" w:cs="Calibri"/>
          <w:color w:val="1F4E79" w:themeColor="accent1" w:themeShade="80"/>
          <w:sz w:val="22"/>
          <w:szCs w:val="22"/>
          <w:lang w:val="en-US"/>
        </w:rPr>
        <w:t>off</w:t>
      </w:r>
      <w:r w:rsidRPr="00F5396D">
        <w:rPr>
          <w:rFonts w:ascii="Calibri" w:hAnsi="Calibri" w:cs="Calibri"/>
          <w:color w:val="1F4E79" w:themeColor="accent1" w:themeShade="80"/>
          <w:sz w:val="22"/>
          <w:szCs w:val="22"/>
        </w:rPr>
        <w:t>.</w:t>
      </w:r>
    </w:p>
    <w:p w14:paraId="05FBE595" w14:textId="77777777" w:rsidR="008757F1" w:rsidRPr="008757F1" w:rsidRDefault="008757F1" w:rsidP="00F5396D">
      <w:pPr>
        <w:pStyle w:val="ab"/>
        <w:spacing w:before="140" w:line="259" w:lineRule="auto"/>
        <w:ind w:right="133"/>
        <w:rPr>
          <w:rFonts w:ascii="Calibri" w:hAnsi="Calibri" w:cs="Calibri"/>
          <w:sz w:val="22"/>
          <w:szCs w:val="22"/>
        </w:rPr>
      </w:pPr>
    </w:p>
    <w:p w14:paraId="14052F6C" w14:textId="330C6708" w:rsidR="009058E1" w:rsidRPr="00D47AE9" w:rsidRDefault="009058E1" w:rsidP="00392B3A">
      <w:pPr>
        <w:pStyle w:val="2"/>
        <w:keepNext w:val="0"/>
        <w:widowControl w:val="0"/>
        <w:numPr>
          <w:ilvl w:val="2"/>
          <w:numId w:val="9"/>
        </w:numPr>
        <w:tabs>
          <w:tab w:val="left" w:pos="720"/>
        </w:tabs>
        <w:autoSpaceDE w:val="0"/>
        <w:autoSpaceDN w:val="0"/>
        <w:spacing w:line="240" w:lineRule="auto"/>
        <w:jc w:val="both"/>
        <w:rPr>
          <w:rFonts w:ascii="Calibri" w:hAnsi="Calibri" w:cs="Calibri"/>
          <w:b w:val="0"/>
          <w:color w:val="2E5395"/>
          <w:sz w:val="22"/>
          <w:szCs w:val="22"/>
        </w:rPr>
      </w:pPr>
      <w:r>
        <w:rPr>
          <w:rFonts w:ascii="Calibri" w:hAnsi="Calibri" w:cs="Calibri"/>
          <w:b w:val="0"/>
          <w:color w:val="2E5395"/>
          <w:sz w:val="22"/>
          <w:szCs w:val="22"/>
        </w:rPr>
        <w:t>Εφάπαξ Υπηρεσίες: Ημερομίσθια προσωπικού</w:t>
      </w:r>
    </w:p>
    <w:p w14:paraId="7CD3C4E3" w14:textId="3403D32F" w:rsidR="00FE0642" w:rsidRPr="00FE0642" w:rsidRDefault="009058E1" w:rsidP="00E00697">
      <w:pPr>
        <w:pStyle w:val="Default"/>
        <w:spacing w:before="140" w:after="120"/>
        <w:rPr>
          <w:rFonts w:ascii="Calibri" w:hAnsi="Calibri" w:cs="Calibri"/>
          <w:sz w:val="22"/>
          <w:szCs w:val="22"/>
        </w:rPr>
      </w:pPr>
      <w:r w:rsidRPr="001F4475">
        <w:rPr>
          <w:rFonts w:ascii="Calibri" w:hAnsi="Calibri" w:cs="Calibri"/>
          <w:sz w:val="22"/>
          <w:szCs w:val="22"/>
        </w:rPr>
        <w:t xml:space="preserve">Ένας συμμετέχων </w:t>
      </w:r>
      <w:r w:rsidR="003C28FC">
        <w:rPr>
          <w:rFonts w:ascii="Calibri" w:hAnsi="Calibri" w:cs="Calibri"/>
          <w:sz w:val="22"/>
          <w:szCs w:val="22"/>
        </w:rPr>
        <w:t>(----)</w:t>
      </w:r>
      <w:r w:rsidRPr="001F4475">
        <w:rPr>
          <w:rFonts w:ascii="Calibri" w:hAnsi="Calibri" w:cs="Calibri"/>
          <w:sz w:val="22"/>
          <w:szCs w:val="22"/>
        </w:rPr>
        <w:t xml:space="preserve"> </w:t>
      </w:r>
      <w:r>
        <w:rPr>
          <w:rFonts w:ascii="Calibri" w:hAnsi="Calibri" w:cs="Calibri"/>
          <w:sz w:val="22"/>
          <w:szCs w:val="22"/>
        </w:rPr>
        <w:t xml:space="preserve">διαφωνεί με το επίπεδο των ορισμένων </w:t>
      </w:r>
      <w:r w:rsidR="00FE0642">
        <w:rPr>
          <w:rFonts w:ascii="Calibri" w:hAnsi="Calibri" w:cs="Calibri"/>
          <w:sz w:val="22"/>
          <w:szCs w:val="22"/>
        </w:rPr>
        <w:t xml:space="preserve">ωρομισθίων. Αναφέρει ότι δεν αντανακλούν </w:t>
      </w:r>
      <w:r w:rsidR="00FE0642" w:rsidRPr="00FE0642">
        <w:rPr>
          <w:rFonts w:ascii="Calibri" w:hAnsi="Calibri" w:cs="Calibri"/>
          <w:sz w:val="22"/>
          <w:szCs w:val="22"/>
        </w:rPr>
        <w:t>τη δομή κόστους και την ιεραρχία εξειδίκευσης των εμπλεκόμενων ειδικοτήτων</w:t>
      </w:r>
      <w:r w:rsidR="00FE0642">
        <w:rPr>
          <w:rFonts w:ascii="Calibri" w:hAnsi="Calibri" w:cs="Calibri"/>
          <w:sz w:val="22"/>
          <w:szCs w:val="22"/>
        </w:rPr>
        <w:t xml:space="preserve">, καθώς τα ωρομίσθια των μηχανικών εμφανίζονται μικρότερα από εκείνα των τεχνικών, ενώ το σύνολο αυτών δεν ανταποκρίνονται στη σημερινή αγορά εργασίας, όντας χαμηλότερα. Ο </w:t>
      </w:r>
      <w:r w:rsidR="004227A3">
        <w:rPr>
          <w:rFonts w:ascii="Calibri" w:hAnsi="Calibri" w:cs="Calibri"/>
          <w:sz w:val="22"/>
          <w:szCs w:val="22"/>
        </w:rPr>
        <w:t>π</w:t>
      </w:r>
      <w:r w:rsidR="00FE0642">
        <w:rPr>
          <w:rFonts w:ascii="Calibri" w:hAnsi="Calibri" w:cs="Calibri"/>
          <w:sz w:val="22"/>
          <w:szCs w:val="22"/>
        </w:rPr>
        <w:t xml:space="preserve">άροχος </w:t>
      </w:r>
      <w:r w:rsidR="00FE0642" w:rsidRPr="00FE0642">
        <w:rPr>
          <w:rFonts w:ascii="Calibri" w:hAnsi="Calibri" w:cs="Calibri"/>
          <w:sz w:val="22"/>
          <w:szCs w:val="22"/>
        </w:rPr>
        <w:t>ζητά η ΕΕΤΤ να επανεξετάσει τις παραδοχές για τα ημερομίσθια, ενσωματώνοντας το έμμεσο κόστος και προσαρμόζοντας τις τιμές ώστε να αντικατοπτρίζουν ρεαλιστικά το πραγματικό κόστος εργασιών πεδίου και τη δομή κόστους των παρόχων στη σημερινή αγορά.</w:t>
      </w:r>
    </w:p>
    <w:p w14:paraId="34F4BBE5" w14:textId="379C44EB" w:rsidR="00924019" w:rsidRPr="0066490C" w:rsidRDefault="00FE0642" w:rsidP="00924019">
      <w:pPr>
        <w:pStyle w:val="Default"/>
        <w:spacing w:before="140" w:after="120"/>
        <w:rPr>
          <w:rFonts w:ascii="Calibri" w:hAnsi="Calibri" w:cs="Calibri"/>
          <w:sz w:val="22"/>
          <w:szCs w:val="22"/>
        </w:rPr>
      </w:pPr>
      <w:r>
        <w:rPr>
          <w:rFonts w:ascii="Calibri" w:hAnsi="Calibri" w:cs="Calibri"/>
          <w:sz w:val="22"/>
          <w:szCs w:val="22"/>
        </w:rPr>
        <w:t xml:space="preserve"> </w:t>
      </w:r>
      <w:r w:rsidR="009058E1">
        <w:rPr>
          <w:rFonts w:ascii="Calibri" w:hAnsi="Calibri" w:cs="Calibri"/>
          <w:sz w:val="22"/>
          <w:szCs w:val="22"/>
        </w:rPr>
        <w:t xml:space="preserve"> </w:t>
      </w:r>
    </w:p>
    <w:p w14:paraId="2BD91443" w14:textId="60D1477B" w:rsidR="00924019" w:rsidRPr="00F96284" w:rsidRDefault="00924019" w:rsidP="00924019">
      <w:pPr>
        <w:pStyle w:val="Default"/>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Α.</w:t>
      </w:r>
      <w:r w:rsidRPr="00F5396D">
        <w:rPr>
          <w:rFonts w:ascii="Calibri" w:hAnsi="Calibri" w:cs="Calibri"/>
          <w:b/>
          <w:color w:val="1F4E79" w:themeColor="accent1" w:themeShade="80"/>
          <w:sz w:val="22"/>
          <w:szCs w:val="22"/>
          <w:u w:val="single"/>
        </w:rPr>
        <w:t>19</w:t>
      </w:r>
      <w:r>
        <w:rPr>
          <w:rFonts w:ascii="Calibri" w:hAnsi="Calibri" w:cs="Calibri"/>
          <w:b/>
          <w:color w:val="1F4E79" w:themeColor="accent1" w:themeShade="80"/>
          <w:sz w:val="22"/>
          <w:szCs w:val="22"/>
          <w:u w:val="single"/>
        </w:rPr>
        <w:t xml:space="preserve"> </w:t>
      </w:r>
      <w:r w:rsidRPr="00F96284">
        <w:rPr>
          <w:rFonts w:ascii="Calibri" w:hAnsi="Calibri" w:cs="Calibri"/>
          <w:b/>
          <w:color w:val="1F4E79" w:themeColor="accent1" w:themeShade="80"/>
          <w:sz w:val="22"/>
          <w:szCs w:val="22"/>
          <w:u w:val="single"/>
        </w:rPr>
        <w:t>ΘΕΣΗ ΕΕΤΤ</w:t>
      </w:r>
    </w:p>
    <w:p w14:paraId="463BEDBE" w14:textId="77777777" w:rsidR="009B5EEA" w:rsidRDefault="009B5EEA" w:rsidP="00E00697">
      <w:pPr>
        <w:pStyle w:val="Default"/>
        <w:spacing w:before="140" w:after="120"/>
        <w:rPr>
          <w:rFonts w:ascii="Calibri" w:hAnsi="Calibri" w:cs="Calibri"/>
          <w:sz w:val="22"/>
          <w:szCs w:val="22"/>
        </w:rPr>
      </w:pPr>
    </w:p>
    <w:p w14:paraId="50D4FCD2" w14:textId="77777777" w:rsidR="002D2CFF" w:rsidRDefault="00F5396D" w:rsidP="00F5396D">
      <w:pPr>
        <w:pStyle w:val="ab"/>
        <w:spacing w:before="141" w:line="259" w:lineRule="auto"/>
        <w:ind w:right="133"/>
        <w:rPr>
          <w:rFonts w:ascii="Calibri" w:hAnsi="Calibri" w:cs="Calibri"/>
          <w:color w:val="1F4E79" w:themeColor="accent1" w:themeShade="80"/>
          <w:sz w:val="22"/>
          <w:szCs w:val="22"/>
        </w:rPr>
      </w:pPr>
      <w:r>
        <w:rPr>
          <w:rFonts w:ascii="Calibri" w:hAnsi="Calibri" w:cs="Calibri"/>
          <w:color w:val="1F4E79" w:themeColor="accent1" w:themeShade="80"/>
          <w:sz w:val="22"/>
          <w:szCs w:val="22"/>
        </w:rPr>
        <w:t>Η ΕΕΤΤ λαμβάνοντας υπόψη το σχόλιο του συμμετέχοντα, θα τροποποιήσει το ύψος του κόστους εργασιών</w:t>
      </w:r>
      <w:r w:rsidR="002D2CFF">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ώστε οι εργασίες μηχανικών να είναι υψηλότερες των υπολοίπων εργασιών.</w:t>
      </w:r>
      <w:r w:rsidR="002D2CFF">
        <w:rPr>
          <w:rFonts w:ascii="Calibri" w:hAnsi="Calibri" w:cs="Calibri"/>
          <w:color w:val="1F4E79" w:themeColor="accent1" w:themeShade="80"/>
          <w:sz w:val="22"/>
          <w:szCs w:val="22"/>
        </w:rPr>
        <w:t xml:space="preserve"> Συγκεκριμένα, βάσει των στοιχείων που έχουν διατεθεί στην ΕΕΤΤ τα αντίστοιχα κόστη εργασιών θα διαμορφωθούν ως εξής για το έτος βάσης 2019:</w:t>
      </w:r>
    </w:p>
    <w:p w14:paraId="4A5971D7" w14:textId="197F173C" w:rsidR="00105E87" w:rsidRPr="00105E87" w:rsidRDefault="00105E87" w:rsidP="00105E87">
      <w:pPr>
        <w:pStyle w:val="ab"/>
        <w:numPr>
          <w:ilvl w:val="0"/>
          <w:numId w:val="21"/>
        </w:numPr>
        <w:spacing w:before="141" w:line="259" w:lineRule="auto"/>
        <w:ind w:right="133"/>
        <w:rPr>
          <w:rFonts w:ascii="Calibri" w:hAnsi="Calibri" w:cs="Calibri"/>
          <w:color w:val="1F4E79" w:themeColor="accent1" w:themeShade="80"/>
          <w:sz w:val="22"/>
          <w:szCs w:val="22"/>
        </w:rPr>
      </w:pPr>
      <w:r w:rsidRPr="00105E87">
        <w:rPr>
          <w:rFonts w:ascii="Calibri" w:hAnsi="Calibri" w:cs="Calibri"/>
          <w:color w:val="1F4E79" w:themeColor="accent1" w:themeShade="80"/>
          <w:sz w:val="22"/>
          <w:szCs w:val="22"/>
        </w:rPr>
        <w:t>Χρήση Πληροφοριακού Συστήματος</w:t>
      </w:r>
      <w:r>
        <w:rPr>
          <w:rFonts w:ascii="Calibri" w:hAnsi="Calibri" w:cs="Calibri"/>
          <w:color w:val="1F4E79" w:themeColor="accent1" w:themeShade="80"/>
          <w:sz w:val="22"/>
          <w:szCs w:val="22"/>
        </w:rPr>
        <w:t xml:space="preserve">: </w:t>
      </w:r>
      <w:r w:rsidRPr="00105E87">
        <w:rPr>
          <w:rFonts w:ascii="Calibri" w:hAnsi="Calibri" w:cs="Calibri"/>
          <w:color w:val="1F4E79" w:themeColor="accent1" w:themeShade="80"/>
          <w:sz w:val="22"/>
          <w:szCs w:val="22"/>
        </w:rPr>
        <w:t>0</w:t>
      </w:r>
      <w:r>
        <w:rPr>
          <w:rFonts w:ascii="Calibri" w:hAnsi="Calibri" w:cs="Calibri"/>
          <w:color w:val="1F4E79" w:themeColor="accent1" w:themeShade="80"/>
          <w:sz w:val="22"/>
          <w:szCs w:val="22"/>
        </w:rPr>
        <w:t>,</w:t>
      </w:r>
      <w:r w:rsidRPr="00105E87">
        <w:rPr>
          <w:rFonts w:ascii="Calibri" w:hAnsi="Calibri" w:cs="Calibri"/>
          <w:color w:val="1F4E79" w:themeColor="accent1" w:themeShade="80"/>
          <w:sz w:val="22"/>
          <w:szCs w:val="22"/>
        </w:rPr>
        <w:t>26 €</w:t>
      </w:r>
    </w:p>
    <w:p w14:paraId="61A62821" w14:textId="01E02688" w:rsidR="00105E87" w:rsidRPr="00105E87" w:rsidRDefault="00105E87" w:rsidP="00105E87">
      <w:pPr>
        <w:pStyle w:val="ab"/>
        <w:numPr>
          <w:ilvl w:val="0"/>
          <w:numId w:val="21"/>
        </w:numPr>
        <w:spacing w:before="141" w:line="259" w:lineRule="auto"/>
        <w:ind w:right="133"/>
        <w:rPr>
          <w:rFonts w:ascii="Calibri" w:hAnsi="Calibri" w:cs="Calibri"/>
          <w:color w:val="1F4E79" w:themeColor="accent1" w:themeShade="80"/>
          <w:sz w:val="22"/>
          <w:szCs w:val="22"/>
        </w:rPr>
      </w:pPr>
      <w:r w:rsidRPr="00105E87">
        <w:rPr>
          <w:rFonts w:ascii="Calibri" w:hAnsi="Calibri" w:cs="Calibri"/>
          <w:color w:val="1F4E79" w:themeColor="accent1" w:themeShade="80"/>
          <w:sz w:val="22"/>
          <w:szCs w:val="22"/>
        </w:rPr>
        <w:t>Συντονισμός ενεργειών/εργασιών/συνεργείων</w:t>
      </w:r>
      <w:r>
        <w:rPr>
          <w:rFonts w:ascii="Calibri" w:hAnsi="Calibri" w:cs="Calibri"/>
          <w:color w:val="1F4E79" w:themeColor="accent1" w:themeShade="80"/>
          <w:sz w:val="22"/>
          <w:szCs w:val="22"/>
        </w:rPr>
        <w:t xml:space="preserve">: </w:t>
      </w:r>
      <w:r w:rsidRPr="00105E87">
        <w:rPr>
          <w:rFonts w:ascii="Calibri" w:hAnsi="Calibri" w:cs="Calibri"/>
          <w:color w:val="1F4E79" w:themeColor="accent1" w:themeShade="80"/>
          <w:sz w:val="22"/>
          <w:szCs w:val="22"/>
        </w:rPr>
        <w:t>0</w:t>
      </w:r>
      <w:r>
        <w:rPr>
          <w:rFonts w:ascii="Calibri" w:hAnsi="Calibri" w:cs="Calibri"/>
          <w:color w:val="1F4E79" w:themeColor="accent1" w:themeShade="80"/>
          <w:sz w:val="22"/>
          <w:szCs w:val="22"/>
        </w:rPr>
        <w:t>,31</w:t>
      </w:r>
      <w:r w:rsidRPr="00105E87">
        <w:rPr>
          <w:rFonts w:ascii="Calibri" w:hAnsi="Calibri" w:cs="Calibri"/>
          <w:color w:val="1F4E79" w:themeColor="accent1" w:themeShade="80"/>
          <w:sz w:val="22"/>
          <w:szCs w:val="22"/>
        </w:rPr>
        <w:t xml:space="preserve"> €</w:t>
      </w:r>
    </w:p>
    <w:p w14:paraId="461B82A9" w14:textId="158131C1" w:rsidR="00105E87" w:rsidRPr="00105E87" w:rsidRDefault="00105E87" w:rsidP="00105E87">
      <w:pPr>
        <w:pStyle w:val="ab"/>
        <w:numPr>
          <w:ilvl w:val="0"/>
          <w:numId w:val="21"/>
        </w:numPr>
        <w:spacing w:before="141" w:line="259" w:lineRule="auto"/>
        <w:ind w:right="133"/>
        <w:rPr>
          <w:rFonts w:ascii="Calibri" w:hAnsi="Calibri" w:cs="Calibri"/>
          <w:color w:val="1F4E79" w:themeColor="accent1" w:themeShade="80"/>
          <w:sz w:val="22"/>
          <w:szCs w:val="22"/>
        </w:rPr>
      </w:pPr>
      <w:r w:rsidRPr="00105E87">
        <w:rPr>
          <w:rFonts w:ascii="Calibri" w:hAnsi="Calibri" w:cs="Calibri"/>
          <w:color w:val="1F4E79" w:themeColor="accent1" w:themeShade="80"/>
          <w:sz w:val="22"/>
          <w:szCs w:val="22"/>
        </w:rPr>
        <w:t>Μελέτες &amp; Εργασίες Μηχανικού</w:t>
      </w:r>
      <w:r>
        <w:rPr>
          <w:rFonts w:ascii="Calibri" w:hAnsi="Calibri" w:cs="Calibri"/>
          <w:color w:val="1F4E79" w:themeColor="accent1" w:themeShade="80"/>
          <w:sz w:val="22"/>
          <w:szCs w:val="22"/>
        </w:rPr>
        <w:t xml:space="preserve">: </w:t>
      </w:r>
      <w:r w:rsidRPr="00105E87">
        <w:rPr>
          <w:rFonts w:ascii="Calibri" w:hAnsi="Calibri" w:cs="Calibri"/>
          <w:color w:val="1F4E79" w:themeColor="accent1" w:themeShade="80"/>
          <w:sz w:val="22"/>
          <w:szCs w:val="22"/>
        </w:rPr>
        <w:t>0</w:t>
      </w:r>
      <w:r>
        <w:rPr>
          <w:rFonts w:ascii="Calibri" w:hAnsi="Calibri" w:cs="Calibri"/>
          <w:color w:val="1F4E79" w:themeColor="accent1" w:themeShade="80"/>
          <w:sz w:val="22"/>
          <w:szCs w:val="22"/>
        </w:rPr>
        <w:t>,33</w:t>
      </w:r>
      <w:r w:rsidRPr="00105E87">
        <w:rPr>
          <w:rFonts w:ascii="Calibri" w:hAnsi="Calibri" w:cs="Calibri"/>
          <w:color w:val="1F4E79" w:themeColor="accent1" w:themeShade="80"/>
          <w:sz w:val="22"/>
          <w:szCs w:val="22"/>
        </w:rPr>
        <w:t xml:space="preserve"> €</w:t>
      </w:r>
    </w:p>
    <w:p w14:paraId="788BF91E" w14:textId="113066B4" w:rsidR="00105E87" w:rsidRPr="00105E87" w:rsidRDefault="00105E87" w:rsidP="00105E87">
      <w:pPr>
        <w:pStyle w:val="ab"/>
        <w:numPr>
          <w:ilvl w:val="0"/>
          <w:numId w:val="21"/>
        </w:numPr>
        <w:spacing w:before="141" w:line="259" w:lineRule="auto"/>
        <w:ind w:right="133"/>
        <w:rPr>
          <w:rFonts w:ascii="Calibri" w:hAnsi="Calibri" w:cs="Calibri"/>
          <w:color w:val="1F4E79" w:themeColor="accent1" w:themeShade="80"/>
          <w:sz w:val="22"/>
          <w:szCs w:val="22"/>
        </w:rPr>
      </w:pPr>
      <w:r w:rsidRPr="00105E87">
        <w:rPr>
          <w:rFonts w:ascii="Calibri" w:hAnsi="Calibri" w:cs="Calibri"/>
          <w:color w:val="1F4E79" w:themeColor="accent1" w:themeShade="80"/>
          <w:sz w:val="22"/>
          <w:szCs w:val="22"/>
        </w:rPr>
        <w:t>Μετάβαση Τεχνικού</w:t>
      </w:r>
      <w:r>
        <w:rPr>
          <w:rFonts w:ascii="Calibri" w:hAnsi="Calibri" w:cs="Calibri"/>
          <w:color w:val="1F4E79" w:themeColor="accent1" w:themeShade="80"/>
          <w:sz w:val="22"/>
          <w:szCs w:val="22"/>
        </w:rPr>
        <w:t xml:space="preserve">: </w:t>
      </w:r>
      <w:r w:rsidRPr="00105E87">
        <w:rPr>
          <w:rFonts w:ascii="Calibri" w:hAnsi="Calibri" w:cs="Calibri"/>
          <w:color w:val="1F4E79" w:themeColor="accent1" w:themeShade="80"/>
          <w:sz w:val="22"/>
          <w:szCs w:val="22"/>
        </w:rPr>
        <w:t>0</w:t>
      </w:r>
      <w:r>
        <w:rPr>
          <w:rFonts w:ascii="Calibri" w:hAnsi="Calibri" w:cs="Calibri"/>
          <w:color w:val="1F4E79" w:themeColor="accent1" w:themeShade="80"/>
          <w:sz w:val="22"/>
          <w:szCs w:val="22"/>
        </w:rPr>
        <w:t>,29</w:t>
      </w:r>
      <w:r w:rsidRPr="00105E87">
        <w:rPr>
          <w:rFonts w:ascii="Calibri" w:hAnsi="Calibri" w:cs="Calibri"/>
          <w:color w:val="1F4E79" w:themeColor="accent1" w:themeShade="80"/>
          <w:sz w:val="22"/>
          <w:szCs w:val="22"/>
        </w:rPr>
        <w:t xml:space="preserve"> €</w:t>
      </w:r>
    </w:p>
    <w:p w14:paraId="49D3DFB7" w14:textId="61194A13" w:rsidR="00105E87" w:rsidRPr="00105E87" w:rsidRDefault="00105E87" w:rsidP="00105E87">
      <w:pPr>
        <w:pStyle w:val="ab"/>
        <w:numPr>
          <w:ilvl w:val="0"/>
          <w:numId w:val="21"/>
        </w:numPr>
        <w:spacing w:before="141" w:line="259" w:lineRule="auto"/>
        <w:ind w:right="133"/>
        <w:rPr>
          <w:rFonts w:ascii="Calibri" w:hAnsi="Calibri" w:cs="Calibri"/>
          <w:color w:val="1F4E79" w:themeColor="accent1" w:themeShade="80"/>
          <w:sz w:val="22"/>
          <w:szCs w:val="22"/>
        </w:rPr>
      </w:pPr>
      <w:r w:rsidRPr="00105E87">
        <w:rPr>
          <w:rFonts w:ascii="Calibri" w:hAnsi="Calibri" w:cs="Calibri"/>
          <w:color w:val="1F4E79" w:themeColor="accent1" w:themeShade="80"/>
          <w:sz w:val="22"/>
          <w:szCs w:val="22"/>
        </w:rPr>
        <w:t>Υλοποίηση Τεχνικών Εργασιών</w:t>
      </w:r>
      <w:r>
        <w:rPr>
          <w:rFonts w:ascii="Calibri" w:hAnsi="Calibri" w:cs="Calibri"/>
          <w:color w:val="1F4E79" w:themeColor="accent1" w:themeShade="80"/>
          <w:sz w:val="22"/>
          <w:szCs w:val="22"/>
        </w:rPr>
        <w:t xml:space="preserve">: </w:t>
      </w:r>
      <w:r w:rsidRPr="00105E87">
        <w:rPr>
          <w:rFonts w:ascii="Calibri" w:hAnsi="Calibri" w:cs="Calibri"/>
          <w:color w:val="1F4E79" w:themeColor="accent1" w:themeShade="80"/>
          <w:sz w:val="22"/>
          <w:szCs w:val="22"/>
        </w:rPr>
        <w:t>0</w:t>
      </w:r>
      <w:r>
        <w:rPr>
          <w:rFonts w:ascii="Calibri" w:hAnsi="Calibri" w:cs="Calibri"/>
          <w:color w:val="1F4E79" w:themeColor="accent1" w:themeShade="80"/>
          <w:sz w:val="22"/>
          <w:szCs w:val="22"/>
        </w:rPr>
        <w:t>,29</w:t>
      </w:r>
      <w:r w:rsidRPr="00105E87">
        <w:rPr>
          <w:rFonts w:ascii="Calibri" w:hAnsi="Calibri" w:cs="Calibri"/>
          <w:color w:val="1F4E79" w:themeColor="accent1" w:themeShade="80"/>
          <w:sz w:val="22"/>
          <w:szCs w:val="22"/>
        </w:rPr>
        <w:t xml:space="preserve"> €</w:t>
      </w:r>
    </w:p>
    <w:p w14:paraId="3957A6BA" w14:textId="3BB8FAAD" w:rsidR="00105E87" w:rsidRPr="00105E87" w:rsidRDefault="00105E87" w:rsidP="00105E87">
      <w:pPr>
        <w:pStyle w:val="ab"/>
        <w:numPr>
          <w:ilvl w:val="0"/>
          <w:numId w:val="21"/>
        </w:numPr>
        <w:spacing w:before="141" w:line="259" w:lineRule="auto"/>
        <w:ind w:right="133"/>
        <w:rPr>
          <w:rFonts w:ascii="Calibri" w:hAnsi="Calibri" w:cs="Calibri"/>
          <w:color w:val="1F4E79" w:themeColor="accent1" w:themeShade="80"/>
          <w:sz w:val="22"/>
          <w:szCs w:val="22"/>
        </w:rPr>
      </w:pPr>
      <w:r w:rsidRPr="00105E87">
        <w:rPr>
          <w:rFonts w:ascii="Calibri" w:hAnsi="Calibri" w:cs="Calibri"/>
          <w:color w:val="1F4E79" w:themeColor="accent1" w:themeShade="80"/>
          <w:sz w:val="22"/>
          <w:szCs w:val="22"/>
        </w:rPr>
        <w:t>Μετρήσεις Ποιότητας</w:t>
      </w:r>
      <w:r>
        <w:rPr>
          <w:rFonts w:ascii="Calibri" w:hAnsi="Calibri" w:cs="Calibri"/>
          <w:color w:val="1F4E79" w:themeColor="accent1" w:themeShade="80"/>
          <w:sz w:val="22"/>
          <w:szCs w:val="22"/>
        </w:rPr>
        <w:t xml:space="preserve">: </w:t>
      </w:r>
      <w:r w:rsidRPr="00105E87">
        <w:rPr>
          <w:rFonts w:ascii="Calibri" w:hAnsi="Calibri" w:cs="Calibri"/>
          <w:color w:val="1F4E79" w:themeColor="accent1" w:themeShade="80"/>
          <w:sz w:val="22"/>
          <w:szCs w:val="22"/>
        </w:rPr>
        <w:t>0</w:t>
      </w:r>
      <w:r>
        <w:rPr>
          <w:rFonts w:ascii="Calibri" w:hAnsi="Calibri" w:cs="Calibri"/>
          <w:color w:val="1F4E79" w:themeColor="accent1" w:themeShade="80"/>
          <w:sz w:val="22"/>
          <w:szCs w:val="22"/>
        </w:rPr>
        <w:t>,29</w:t>
      </w:r>
      <w:r w:rsidRPr="00105E87">
        <w:rPr>
          <w:rFonts w:ascii="Calibri" w:hAnsi="Calibri" w:cs="Calibri"/>
          <w:color w:val="1F4E79" w:themeColor="accent1" w:themeShade="80"/>
          <w:sz w:val="22"/>
          <w:szCs w:val="22"/>
        </w:rPr>
        <w:t xml:space="preserve"> €</w:t>
      </w:r>
    </w:p>
    <w:p w14:paraId="1781128E" w14:textId="5F7FF105" w:rsidR="00105E87" w:rsidRPr="00105E87" w:rsidRDefault="00105E87" w:rsidP="00105E87">
      <w:pPr>
        <w:pStyle w:val="ab"/>
        <w:numPr>
          <w:ilvl w:val="0"/>
          <w:numId w:val="21"/>
        </w:numPr>
        <w:spacing w:before="141" w:line="259" w:lineRule="auto"/>
        <w:ind w:right="133"/>
        <w:rPr>
          <w:rFonts w:ascii="Calibri" w:hAnsi="Calibri" w:cs="Calibri"/>
          <w:color w:val="1F4E79" w:themeColor="accent1" w:themeShade="80"/>
          <w:sz w:val="22"/>
          <w:szCs w:val="22"/>
        </w:rPr>
      </w:pPr>
      <w:r w:rsidRPr="00105E87">
        <w:rPr>
          <w:rFonts w:ascii="Calibri" w:hAnsi="Calibri" w:cs="Calibri"/>
          <w:color w:val="1F4E79" w:themeColor="accent1" w:themeShade="80"/>
          <w:sz w:val="22"/>
          <w:szCs w:val="22"/>
        </w:rPr>
        <w:t>Διάφορες Διαχειριστικές εργασίες</w:t>
      </w:r>
      <w:r>
        <w:rPr>
          <w:rFonts w:ascii="Calibri" w:hAnsi="Calibri" w:cs="Calibri"/>
          <w:color w:val="1F4E79" w:themeColor="accent1" w:themeShade="80"/>
          <w:sz w:val="22"/>
          <w:szCs w:val="22"/>
        </w:rPr>
        <w:t xml:space="preserve">: </w:t>
      </w:r>
      <w:r w:rsidRPr="00105E87">
        <w:rPr>
          <w:rFonts w:ascii="Calibri" w:hAnsi="Calibri" w:cs="Calibri"/>
          <w:color w:val="1F4E79" w:themeColor="accent1" w:themeShade="80"/>
          <w:sz w:val="22"/>
          <w:szCs w:val="22"/>
        </w:rPr>
        <w:t>0</w:t>
      </w:r>
      <w:r>
        <w:rPr>
          <w:rFonts w:ascii="Calibri" w:hAnsi="Calibri" w:cs="Calibri"/>
          <w:color w:val="1F4E79" w:themeColor="accent1" w:themeShade="80"/>
          <w:sz w:val="22"/>
          <w:szCs w:val="22"/>
        </w:rPr>
        <w:t>,29</w:t>
      </w:r>
      <w:r w:rsidRPr="00105E87">
        <w:rPr>
          <w:rFonts w:ascii="Calibri" w:hAnsi="Calibri" w:cs="Calibri"/>
          <w:color w:val="1F4E79" w:themeColor="accent1" w:themeShade="80"/>
          <w:sz w:val="22"/>
          <w:szCs w:val="22"/>
        </w:rPr>
        <w:t xml:space="preserve"> €</w:t>
      </w:r>
    </w:p>
    <w:p w14:paraId="7D262662" w14:textId="1B486806" w:rsidR="002D2CFF" w:rsidRPr="00105E87" w:rsidRDefault="00105E87" w:rsidP="00F5396D">
      <w:pPr>
        <w:pStyle w:val="ab"/>
        <w:numPr>
          <w:ilvl w:val="0"/>
          <w:numId w:val="21"/>
        </w:numPr>
        <w:spacing w:before="141" w:line="259" w:lineRule="auto"/>
        <w:ind w:right="133"/>
        <w:rPr>
          <w:rFonts w:ascii="Calibri" w:hAnsi="Calibri" w:cs="Calibri"/>
          <w:color w:val="1F4E79" w:themeColor="accent1" w:themeShade="80"/>
          <w:sz w:val="22"/>
          <w:szCs w:val="22"/>
        </w:rPr>
      </w:pPr>
      <w:r w:rsidRPr="00105E87">
        <w:rPr>
          <w:rFonts w:ascii="Calibri" w:hAnsi="Calibri" w:cs="Calibri"/>
          <w:color w:val="1F4E79" w:themeColor="accent1" w:themeShade="80"/>
          <w:sz w:val="22"/>
          <w:szCs w:val="22"/>
        </w:rPr>
        <w:t>Λοιπές Εργασίες</w:t>
      </w:r>
      <w:r>
        <w:rPr>
          <w:rFonts w:ascii="Calibri" w:hAnsi="Calibri" w:cs="Calibri"/>
          <w:color w:val="1F4E79" w:themeColor="accent1" w:themeShade="80"/>
          <w:sz w:val="22"/>
          <w:szCs w:val="22"/>
        </w:rPr>
        <w:t xml:space="preserve">: </w:t>
      </w:r>
      <w:r w:rsidRPr="00105E87">
        <w:rPr>
          <w:rFonts w:ascii="Calibri" w:hAnsi="Calibri" w:cs="Calibri"/>
          <w:color w:val="1F4E79" w:themeColor="accent1" w:themeShade="80"/>
          <w:sz w:val="22"/>
          <w:szCs w:val="22"/>
        </w:rPr>
        <w:t>0</w:t>
      </w:r>
      <w:r>
        <w:rPr>
          <w:rFonts w:ascii="Calibri" w:hAnsi="Calibri" w:cs="Calibri"/>
          <w:color w:val="1F4E79" w:themeColor="accent1" w:themeShade="80"/>
          <w:sz w:val="22"/>
          <w:szCs w:val="22"/>
        </w:rPr>
        <w:t>,29</w:t>
      </w:r>
      <w:r w:rsidRPr="00105E87">
        <w:rPr>
          <w:rFonts w:ascii="Calibri" w:hAnsi="Calibri" w:cs="Calibri"/>
          <w:color w:val="1F4E79" w:themeColor="accent1" w:themeShade="80"/>
          <w:sz w:val="22"/>
          <w:szCs w:val="22"/>
        </w:rPr>
        <w:t xml:space="preserve"> €</w:t>
      </w:r>
    </w:p>
    <w:p w14:paraId="5CF4707D" w14:textId="0E71CD8A" w:rsidR="009B5EEA" w:rsidRPr="005B233E" w:rsidRDefault="00F5396D" w:rsidP="00F5396D">
      <w:pPr>
        <w:pStyle w:val="ab"/>
        <w:spacing w:before="141" w:line="259" w:lineRule="auto"/>
        <w:ind w:right="133"/>
        <w:rPr>
          <w:rFonts w:ascii="Calibri" w:hAnsi="Calibri" w:cs="Calibri"/>
          <w:sz w:val="22"/>
          <w:szCs w:val="22"/>
        </w:rPr>
      </w:pPr>
      <w:r>
        <w:rPr>
          <w:rFonts w:ascii="Calibri" w:hAnsi="Calibri" w:cs="Calibri"/>
          <w:color w:val="1F4E79" w:themeColor="accent1" w:themeShade="80"/>
          <w:sz w:val="22"/>
          <w:szCs w:val="22"/>
        </w:rPr>
        <w:t xml:space="preserve">Επιπλέον, επισημαίνεται ότι θα επικαιροποιηθούν οι </w:t>
      </w:r>
      <w:r w:rsidR="005B233E">
        <w:rPr>
          <w:rFonts w:ascii="Calibri" w:hAnsi="Calibri" w:cs="Calibri"/>
          <w:color w:val="1F4E79" w:themeColor="accent1" w:themeShade="80"/>
          <w:sz w:val="22"/>
          <w:szCs w:val="22"/>
        </w:rPr>
        <w:t>σχετικοί παράμετροι πληθωρισμού βάσει των πρόσφατων στοιχείων και προβλέψεων για το Δείκτη Τιμών Καταναλωτή σύμφωνα με τις πραγματικές οικονομικές συνθήκες.</w:t>
      </w:r>
    </w:p>
    <w:sectPr w:rsidR="009B5EEA" w:rsidRPr="005B233E" w:rsidSect="00B87DC2">
      <w:footerReference w:type="even" r:id="rId12"/>
      <w:footerReference w:type="default" r:id="rId13"/>
      <w:pgSz w:w="11906" w:h="16838"/>
      <w:pgMar w:top="1701" w:right="1797" w:bottom="1258" w:left="179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0842D2" w16cex:dateUtc="2026-01-08T12:34:00Z"/>
  <w16cex:commentExtensible w16cex:durableId="4DC8349E" w16cex:dateUtc="2026-01-08T13:19:00Z"/>
  <w16cex:commentExtensible w16cex:durableId="72BEF522" w16cex:dateUtc="2026-01-08T19:22:00Z"/>
  <w16cex:commentExtensible w16cex:durableId="45AD50ED" w16cex:dateUtc="2026-01-08T23:10:00Z"/>
  <w16cex:commentExtensible w16cex:durableId="0FD8FA0D" w16cex:dateUtc="2026-01-28T22:54:00Z"/>
  <w16cex:commentExtensible w16cex:durableId="250D8D31" w16cex:dateUtc="2026-01-09T07:02:00Z"/>
  <w16cex:commentExtensible w16cex:durableId="1B959C58" w16cex:dateUtc="2026-01-26T20:46:00Z"/>
  <w16cex:commentExtensible w16cex:durableId="349EC50E" w16cex:dateUtc="2026-01-26T20:46:00Z"/>
  <w16cex:commentExtensible w16cex:durableId="0B94A0F7" w16cex:dateUtc="2026-01-26T20:46:00Z"/>
  <w16cex:commentExtensible w16cex:durableId="2D0B7938" w16cex:dateUtc="2026-01-09T07:02:00Z"/>
  <w16cex:commentExtensible w16cex:durableId="2D0B89AD" w16cex:dateUtc="2026-01-09T12: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3A333" w14:textId="77777777" w:rsidR="003C28FC" w:rsidRDefault="003C28FC">
      <w:r>
        <w:separator/>
      </w:r>
    </w:p>
  </w:endnote>
  <w:endnote w:type="continuationSeparator" w:id="0">
    <w:p w14:paraId="1D342A43" w14:textId="77777777" w:rsidR="003C28FC" w:rsidRDefault="003C2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 w:name="EUAlbertina">
    <w:panose1 w:val="00000000000000000000"/>
    <w:charset w:val="A1"/>
    <w:family w:val="roman"/>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Vodafone Rg">
    <w:altName w:val="Arial"/>
    <w:charset w:val="A1"/>
    <w:family w:val="swiss"/>
    <w:pitch w:val="variable"/>
    <w:sig w:usb0="00000001" w:usb1="4000204B" w:usb2="00000000" w:usb3="00000000" w:csb0="0000009F"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2411205"/>
      <w:docPartObj>
        <w:docPartGallery w:val="Page Numbers (Bottom of Page)"/>
        <w:docPartUnique/>
      </w:docPartObj>
    </w:sdtPr>
    <w:sdtContent>
      <w:sdt>
        <w:sdtPr>
          <w:id w:val="-797147875"/>
          <w:docPartObj>
            <w:docPartGallery w:val="Page Numbers (Top of Page)"/>
            <w:docPartUnique/>
          </w:docPartObj>
        </w:sdtPr>
        <w:sdtContent>
          <w:p w14:paraId="4B7F62A7" w14:textId="77777777" w:rsidR="003C28FC" w:rsidRDefault="003C28FC">
            <w:pPr>
              <w:pStyle w:val="a3"/>
              <w:jc w:val="center"/>
            </w:pPr>
            <w:r>
              <w:t xml:space="preserve">Σελίδα </w:t>
            </w:r>
            <w:r>
              <w:rPr>
                <w:b/>
                <w:bCs/>
              </w:rPr>
              <w:fldChar w:fldCharType="begin"/>
            </w:r>
            <w:r>
              <w:rPr>
                <w:b/>
                <w:bCs/>
              </w:rPr>
              <w:instrText>PAGE</w:instrText>
            </w:r>
            <w:r>
              <w:rPr>
                <w:b/>
                <w:bCs/>
              </w:rPr>
              <w:fldChar w:fldCharType="separate"/>
            </w:r>
            <w:r>
              <w:rPr>
                <w:b/>
                <w:bCs/>
                <w:noProof/>
              </w:rPr>
              <w:t>4</w:t>
            </w:r>
            <w:r>
              <w:rPr>
                <w:b/>
                <w:bCs/>
              </w:rPr>
              <w:fldChar w:fldCharType="end"/>
            </w:r>
            <w:r>
              <w:t xml:space="preserve"> από </w:t>
            </w:r>
            <w:r>
              <w:rPr>
                <w:b/>
                <w:bCs/>
              </w:rPr>
              <w:fldChar w:fldCharType="begin"/>
            </w:r>
            <w:r>
              <w:rPr>
                <w:b/>
                <w:bCs/>
              </w:rPr>
              <w:instrText>NUMPAGES</w:instrText>
            </w:r>
            <w:r>
              <w:rPr>
                <w:b/>
                <w:bCs/>
              </w:rPr>
              <w:fldChar w:fldCharType="separate"/>
            </w:r>
            <w:r>
              <w:rPr>
                <w:b/>
                <w:bCs/>
                <w:noProof/>
              </w:rPr>
              <w:t>24</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930482"/>
      <w:docPartObj>
        <w:docPartGallery w:val="Page Numbers (Bottom of Page)"/>
        <w:docPartUnique/>
      </w:docPartObj>
    </w:sdtPr>
    <w:sdtContent>
      <w:sdt>
        <w:sdtPr>
          <w:id w:val="1096212264"/>
          <w:docPartObj>
            <w:docPartGallery w:val="Page Numbers (Top of Page)"/>
            <w:docPartUnique/>
          </w:docPartObj>
        </w:sdtPr>
        <w:sdtContent>
          <w:p w14:paraId="7C738B74" w14:textId="77777777" w:rsidR="003C28FC" w:rsidRDefault="003C28FC">
            <w:pPr>
              <w:pStyle w:val="a3"/>
              <w:jc w:val="center"/>
            </w:pPr>
            <w:r>
              <w:t xml:space="preserve">Σελίδα </w:t>
            </w:r>
            <w:r>
              <w:rPr>
                <w:b/>
                <w:bCs/>
              </w:rPr>
              <w:fldChar w:fldCharType="begin"/>
            </w:r>
            <w:r>
              <w:rPr>
                <w:b/>
                <w:bCs/>
              </w:rPr>
              <w:instrText>PAGE</w:instrText>
            </w:r>
            <w:r>
              <w:rPr>
                <w:b/>
                <w:bCs/>
              </w:rPr>
              <w:fldChar w:fldCharType="separate"/>
            </w:r>
            <w:r>
              <w:rPr>
                <w:b/>
                <w:bCs/>
                <w:noProof/>
              </w:rPr>
              <w:t>1</w:t>
            </w:r>
            <w:r>
              <w:rPr>
                <w:b/>
                <w:bCs/>
              </w:rPr>
              <w:fldChar w:fldCharType="end"/>
            </w:r>
            <w:r>
              <w:t xml:space="preserve"> από </w:t>
            </w:r>
            <w:r>
              <w:rPr>
                <w:b/>
                <w:bCs/>
              </w:rPr>
              <w:fldChar w:fldCharType="begin"/>
            </w:r>
            <w:r>
              <w:rPr>
                <w:b/>
                <w:bCs/>
              </w:rPr>
              <w:instrText>NUMPAGES</w:instrText>
            </w:r>
            <w:r>
              <w:rPr>
                <w:b/>
                <w:bCs/>
              </w:rPr>
              <w:fldChar w:fldCharType="separate"/>
            </w:r>
            <w:r>
              <w:rPr>
                <w:b/>
                <w:bCs/>
                <w:noProof/>
              </w:rPr>
              <w:t>24</w:t>
            </w:r>
            <w:r>
              <w:rPr>
                <w:b/>
                <w:bCs/>
              </w:rPr>
              <w:fldChar w:fldCharType="end"/>
            </w:r>
          </w:p>
        </w:sdtContent>
      </w:sdt>
    </w:sdtContent>
  </w:sdt>
  <w:p w14:paraId="77B9DECB" w14:textId="77777777" w:rsidR="003C28FC" w:rsidRDefault="003C28FC">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186D4" w14:textId="77777777" w:rsidR="003C28FC" w:rsidRDefault="003C28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270E4164" w14:textId="77777777" w:rsidR="003C28FC" w:rsidRDefault="003C28FC">
    <w:pPr>
      <w:pStyle w:val="a3"/>
      <w:ind w:right="360"/>
    </w:pPr>
  </w:p>
  <w:p w14:paraId="0F6F903B" w14:textId="77777777" w:rsidR="003C28FC" w:rsidRDefault="003C28FC"/>
  <w:p w14:paraId="37071BB4" w14:textId="77777777" w:rsidR="003C28FC" w:rsidRDefault="003C28FC"/>
  <w:p w14:paraId="4FFF1269" w14:textId="77777777" w:rsidR="003C28FC" w:rsidRDefault="003C28FC"/>
  <w:p w14:paraId="74AEBBBA" w14:textId="77777777" w:rsidR="003C28FC" w:rsidRDefault="003C28F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9396553"/>
      <w:docPartObj>
        <w:docPartGallery w:val="Page Numbers (Bottom of Page)"/>
        <w:docPartUnique/>
      </w:docPartObj>
    </w:sdtPr>
    <w:sdtContent>
      <w:p w14:paraId="34AE9C7F" w14:textId="5901BD8E" w:rsidR="003C28FC" w:rsidRDefault="003C28FC">
        <w:pPr>
          <w:pStyle w:val="a3"/>
          <w:jc w:val="right"/>
        </w:pPr>
        <w:r>
          <w:fldChar w:fldCharType="begin"/>
        </w:r>
        <w:r>
          <w:instrText>PAGE   \* MERGEFORMAT</w:instrText>
        </w:r>
        <w:r>
          <w:fldChar w:fldCharType="separate"/>
        </w:r>
        <w:r>
          <w:t>2</w:t>
        </w:r>
        <w:r>
          <w:fldChar w:fldCharType="end"/>
        </w:r>
      </w:p>
    </w:sdtContent>
  </w:sdt>
  <w:p w14:paraId="20416D75" w14:textId="77777777" w:rsidR="003C28FC" w:rsidRDefault="003C28FC" w:rsidP="003976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1FD2C" w14:textId="77777777" w:rsidR="003C28FC" w:rsidRDefault="003C28FC">
      <w:r>
        <w:separator/>
      </w:r>
    </w:p>
  </w:footnote>
  <w:footnote w:type="continuationSeparator" w:id="0">
    <w:p w14:paraId="5E351C1D" w14:textId="77777777" w:rsidR="003C28FC" w:rsidRDefault="003C28FC">
      <w:r>
        <w:continuationSeparator/>
      </w:r>
    </w:p>
  </w:footnote>
  <w:footnote w:id="1">
    <w:p w14:paraId="31C25EAC" w14:textId="27F51FE6" w:rsidR="003C28FC" w:rsidRDefault="003C28FC" w:rsidP="00971F1E">
      <w:pPr>
        <w:pStyle w:val="a9"/>
        <w:rPr>
          <w:sz w:val="14"/>
          <w:szCs w:val="14"/>
          <w:lang w:val="en-GB"/>
        </w:rPr>
      </w:pPr>
      <w:r>
        <w:rPr>
          <w:rStyle w:val="aa"/>
        </w:rPr>
        <w:footnoteRef/>
      </w:r>
      <w:r w:rsidRPr="00971F1E">
        <w:rPr>
          <w:lang w:val="en-GB"/>
        </w:rPr>
        <w:t xml:space="preserve"> </w:t>
      </w:r>
      <w:r w:rsidRPr="00971F1E">
        <w:rPr>
          <w:sz w:val="14"/>
          <w:szCs w:val="14"/>
          <w:lang w:val="en-GB"/>
        </w:rPr>
        <w:t>ITU-T, “Guidance on optical fibre and cable reliability,” ITU-T G-series Recommendations – Supplement 59, 2nd ed., Feb. 2018, Geneva, Switzerland: International Telecommunication Union</w:t>
      </w:r>
      <w:r>
        <w:rPr>
          <w:sz w:val="14"/>
          <w:szCs w:val="14"/>
          <w:lang w:val="en-GB"/>
        </w:rPr>
        <w:t>:</w:t>
      </w:r>
    </w:p>
    <w:p w14:paraId="3479DE55" w14:textId="15C67C1E" w:rsidR="003C28FC" w:rsidRPr="00971F1E" w:rsidRDefault="003C28FC" w:rsidP="00971F1E">
      <w:pPr>
        <w:pStyle w:val="a9"/>
        <w:rPr>
          <w:lang w:val="en-GB"/>
        </w:rPr>
      </w:pPr>
      <w:r w:rsidRPr="00971F1E">
        <w:rPr>
          <w:sz w:val="14"/>
          <w:szCs w:val="14"/>
          <w:lang w:val="en-GB"/>
        </w:rPr>
        <w:t>“</w:t>
      </w:r>
      <w:r w:rsidRPr="00971F1E">
        <w:rPr>
          <w:i/>
          <w:iCs/>
          <w:sz w:val="14"/>
          <w:szCs w:val="14"/>
          <w:lang w:val="en-GB"/>
        </w:rPr>
        <w:t>All tests focus on optical reliability and</w:t>
      </w:r>
      <w:r>
        <w:rPr>
          <w:i/>
          <w:iCs/>
          <w:sz w:val="14"/>
          <w:szCs w:val="14"/>
          <w:lang w:val="en-GB"/>
        </w:rPr>
        <w:t xml:space="preserve"> </w:t>
      </w:r>
      <w:r w:rsidRPr="00971F1E">
        <w:rPr>
          <w:i/>
          <w:iCs/>
          <w:sz w:val="14"/>
          <w:szCs w:val="14"/>
          <w:lang w:val="en-GB"/>
        </w:rPr>
        <w:t>monitor fibre or cable attenuation during the course of the test to see whether any change occurs. If</w:t>
      </w:r>
      <w:r>
        <w:rPr>
          <w:i/>
          <w:iCs/>
          <w:sz w:val="14"/>
          <w:szCs w:val="14"/>
          <w:lang w:val="en-GB"/>
        </w:rPr>
        <w:t xml:space="preserve"> </w:t>
      </w:r>
      <w:r w:rsidRPr="00971F1E">
        <w:rPr>
          <w:i/>
          <w:iCs/>
          <w:sz w:val="14"/>
          <w:szCs w:val="14"/>
          <w:lang w:val="en-GB"/>
        </w:rPr>
        <w:t>the change is under the recommended threshold, the optical cable is expected to operate in the field</w:t>
      </w:r>
      <w:r>
        <w:rPr>
          <w:i/>
          <w:iCs/>
          <w:sz w:val="14"/>
          <w:szCs w:val="14"/>
          <w:lang w:val="en-GB"/>
        </w:rPr>
        <w:t xml:space="preserve"> </w:t>
      </w:r>
      <w:r w:rsidRPr="00971F1E">
        <w:rPr>
          <w:i/>
          <w:iCs/>
          <w:sz w:val="14"/>
          <w:szCs w:val="14"/>
          <w:lang w:val="en-GB"/>
        </w:rPr>
        <w:t>for a reasonable period of time (typically 20-30 years) without significant degradation in transmission</w:t>
      </w:r>
      <w:r>
        <w:rPr>
          <w:i/>
          <w:iCs/>
          <w:sz w:val="14"/>
          <w:szCs w:val="14"/>
          <w:lang w:val="en-GB"/>
        </w:rPr>
        <w:t xml:space="preserve"> </w:t>
      </w:r>
      <w:r w:rsidRPr="00971F1E">
        <w:rPr>
          <w:i/>
          <w:iCs/>
          <w:sz w:val="14"/>
          <w:szCs w:val="14"/>
          <w:lang w:val="en-GB"/>
        </w:rPr>
        <w:t>properties.”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4CE0F" w14:textId="77777777" w:rsidR="003C28FC" w:rsidRDefault="003C28FC">
    <w:pPr>
      <w:pStyle w:val="a5"/>
    </w:pPr>
    <w:r>
      <w:rPr>
        <w:noProof/>
      </w:rPr>
      <w:drawing>
        <wp:inline distT="0" distB="0" distL="0" distR="0" wp14:anchorId="48E4DB0F" wp14:editId="0EB497BC">
          <wp:extent cx="2099310" cy="755650"/>
          <wp:effectExtent l="0" t="0" r="0"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78D50" w14:textId="2A641504" w:rsidR="003C28FC" w:rsidRPr="00A17AB9" w:rsidRDefault="003C28FC">
    <w:pPr>
      <w:pStyle w:val="a5"/>
      <w:rPr>
        <w:rFonts w:ascii="Calibri" w:hAnsi="Calibri" w:cs="Calibri"/>
      </w:rPr>
    </w:pPr>
    <w:r w:rsidRPr="006F1F2B">
      <w:rPr>
        <w:rFonts w:ascii="Calibri" w:hAnsi="Calibri" w:cs="Calibri"/>
        <w:b/>
      </w:rPr>
      <w:drawing>
        <wp:inline distT="0" distB="0" distL="0" distR="0" wp14:anchorId="46E632CE" wp14:editId="0837DC16">
          <wp:extent cx="2099310" cy="755650"/>
          <wp:effectExtent l="0" t="0" r="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r w:rsidRPr="006F1F2B">
      <w:rPr>
        <w:rFonts w:ascii="Calibri" w:hAnsi="Calibri" w:cs="Calibri"/>
        <w:b/>
      </w:rPr>
      <w:t xml:space="preserve">                                         </w:t>
    </w:r>
    <w:r w:rsidRPr="006F1F2B">
      <w:rPr>
        <w:rFonts w:ascii="Calibri" w:hAnsi="Calibri" w:cs="Calibri"/>
        <w:b/>
      </w:rPr>
      <w:tab/>
    </w:r>
    <w:r w:rsidRPr="006F1F2B">
      <w:rPr>
        <w:rFonts w:ascii="Calibri" w:hAnsi="Calibri" w:cs="Calibri"/>
        <w:b/>
      </w:rPr>
      <w:t xml:space="preserve">ΜΗ </w:t>
    </w:r>
    <w:r w:rsidRPr="00A17AB9">
      <w:rPr>
        <w:rFonts w:ascii="Calibri" w:hAnsi="Calibri" w:cs="Calibri"/>
        <w:b/>
      </w:rPr>
      <w:t>ΕΜΠΙΣΤΕΥΤΙΚΗ ΕΚΔΟΣΗ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C388A"/>
    <w:multiLevelType w:val="hybridMultilevel"/>
    <w:tmpl w:val="BB7C267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2F44491"/>
    <w:multiLevelType w:val="hybridMultilevel"/>
    <w:tmpl w:val="2A6CD3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A1E2EEB"/>
    <w:multiLevelType w:val="hybridMultilevel"/>
    <w:tmpl w:val="241A59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B8202FF"/>
    <w:multiLevelType w:val="hybridMultilevel"/>
    <w:tmpl w:val="822AE7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E44CEE3"/>
    <w:multiLevelType w:val="hybridMultilevel"/>
    <w:tmpl w:val="301D339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01F4490"/>
    <w:multiLevelType w:val="hybridMultilevel"/>
    <w:tmpl w:val="122466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65D3EBA"/>
    <w:multiLevelType w:val="multilevel"/>
    <w:tmpl w:val="EB745178"/>
    <w:lvl w:ilvl="0">
      <w:start w:val="1"/>
      <w:numFmt w:val="decimal"/>
      <w:pStyle w:val="-1"/>
      <w:lvlText w:val="%1"/>
      <w:lvlJc w:val="left"/>
      <w:pPr>
        <w:tabs>
          <w:tab w:val="num" w:pos="1134"/>
        </w:tabs>
        <w:ind w:left="1134" w:hanging="1134"/>
      </w:pPr>
      <w:rPr>
        <w:rFonts w:ascii="Times New Roman" w:hAnsi="Times New Roman" w:hint="default"/>
        <w:b/>
        <w:i w:val="0"/>
        <w:sz w:val="28"/>
        <w:szCs w:val="28"/>
      </w:rPr>
    </w:lvl>
    <w:lvl w:ilvl="1">
      <w:start w:val="1"/>
      <w:numFmt w:val="decimal"/>
      <w:pStyle w:val="-2"/>
      <w:lvlText w:val="%1.%2"/>
      <w:lvlJc w:val="left"/>
      <w:pPr>
        <w:tabs>
          <w:tab w:val="num" w:pos="1134"/>
        </w:tabs>
        <w:ind w:left="1134" w:hanging="1134"/>
      </w:pPr>
      <w:rPr>
        <w:rFonts w:ascii="Times" w:hAnsi="Times" w:hint="default"/>
        <w:b/>
        <w:i w:val="0"/>
        <w:sz w:val="26"/>
        <w:szCs w:val="26"/>
        <w:lang w:val="el-GR"/>
      </w:rPr>
    </w:lvl>
    <w:lvl w:ilvl="2">
      <w:start w:val="1"/>
      <w:numFmt w:val="decimal"/>
      <w:pStyle w:val="-3"/>
      <w:lvlText w:val="%1.%2.%3"/>
      <w:lvlJc w:val="left"/>
      <w:pPr>
        <w:tabs>
          <w:tab w:val="num" w:pos="1134"/>
        </w:tabs>
        <w:ind w:left="1134" w:hanging="1134"/>
      </w:pPr>
      <w:rPr>
        <w:rFonts w:ascii="Times New Roman" w:hAnsi="Times New Roman" w:hint="default"/>
        <w:b/>
        <w:i w:val="0"/>
        <w:sz w:val="24"/>
        <w:szCs w:val="24"/>
      </w:rPr>
    </w:lvl>
    <w:lvl w:ilvl="3">
      <w:start w:val="1"/>
      <w:numFmt w:val="decimal"/>
      <w:pStyle w:val="-4"/>
      <w:lvlText w:val="%1.%2.%3.%4"/>
      <w:lvlJc w:val="left"/>
      <w:pPr>
        <w:tabs>
          <w:tab w:val="num" w:pos="1134"/>
        </w:tabs>
        <w:ind w:left="1134" w:hanging="1134"/>
      </w:pPr>
      <w:rPr>
        <w:rFonts w:ascii="Times New Roman" w:hAnsi="Times New Roman" w:hint="default"/>
        <w:b/>
        <w:i w:val="0"/>
        <w:sz w:val="24"/>
        <w:szCs w:val="24"/>
      </w:rPr>
    </w:lvl>
    <w:lvl w:ilvl="4">
      <w:start w:val="1"/>
      <w:numFmt w:val="decimal"/>
      <w:pStyle w:val="-5"/>
      <w:lvlText w:val="%1.%2.%3.%4.%5"/>
      <w:lvlJc w:val="left"/>
      <w:pPr>
        <w:tabs>
          <w:tab w:val="num" w:pos="1134"/>
        </w:tabs>
        <w:ind w:left="1134" w:hanging="1134"/>
      </w:pPr>
      <w:rPr>
        <w:rFonts w:ascii="Times New Roman" w:hAnsi="Times New Roman" w:hint="default"/>
        <w:b/>
        <w:i w:val="0"/>
        <w:sz w:val="24"/>
        <w:szCs w:val="24"/>
      </w:rPr>
    </w:lvl>
    <w:lvl w:ilvl="5">
      <w:start w:val="1"/>
      <w:numFmt w:val="decimal"/>
      <w:pStyle w:val="-6"/>
      <w:lvlText w:val="%1.%2.%3.%4.%5.%6"/>
      <w:lvlJc w:val="left"/>
      <w:pPr>
        <w:tabs>
          <w:tab w:val="num" w:pos="1134"/>
        </w:tabs>
        <w:ind w:left="1134" w:hanging="1134"/>
      </w:pPr>
      <w:rPr>
        <w:rFonts w:ascii="Times New Roman" w:hAnsi="Times New Roman" w:hint="default"/>
        <w:b/>
        <w:i w:val="0"/>
        <w:sz w:val="24"/>
        <w:szCs w:val="24"/>
      </w:rPr>
    </w:lvl>
    <w:lvl w:ilvl="6">
      <w:start w:val="1"/>
      <w:numFmt w:val="decimal"/>
      <w:lvlText w:val="%1.%2.%3.%4.%5.%6.%7"/>
      <w:lvlJc w:val="left"/>
      <w:pPr>
        <w:tabs>
          <w:tab w:val="num" w:pos="1012"/>
        </w:tabs>
        <w:ind w:left="1012" w:hanging="1296"/>
      </w:pPr>
      <w:rPr>
        <w:rFonts w:hint="default"/>
      </w:rPr>
    </w:lvl>
    <w:lvl w:ilvl="7">
      <w:start w:val="1"/>
      <w:numFmt w:val="decimal"/>
      <w:lvlText w:val="%1.%2.%3.%4.%5.%6.%7.%8"/>
      <w:lvlJc w:val="left"/>
      <w:pPr>
        <w:tabs>
          <w:tab w:val="num" w:pos="1156"/>
        </w:tabs>
        <w:ind w:left="1156" w:hanging="1440"/>
      </w:pPr>
      <w:rPr>
        <w:rFonts w:hint="default"/>
      </w:rPr>
    </w:lvl>
    <w:lvl w:ilvl="8">
      <w:start w:val="1"/>
      <w:numFmt w:val="decimal"/>
      <w:lvlText w:val="%1.%2.%3.%4.%5.%6.%7.%8.%9"/>
      <w:lvlJc w:val="left"/>
      <w:pPr>
        <w:tabs>
          <w:tab w:val="num" w:pos="1300"/>
        </w:tabs>
        <w:ind w:left="1300" w:hanging="1584"/>
      </w:pPr>
      <w:rPr>
        <w:rFonts w:hint="default"/>
      </w:rPr>
    </w:lvl>
  </w:abstractNum>
  <w:abstractNum w:abstractNumId="7" w15:restartNumberingAfterBreak="0">
    <w:nsid w:val="3DCC6A68"/>
    <w:multiLevelType w:val="hybridMultilevel"/>
    <w:tmpl w:val="57C0B7D8"/>
    <w:lvl w:ilvl="0" w:tplc="0408000D">
      <w:start w:val="1"/>
      <w:numFmt w:val="bullet"/>
      <w:pStyle w:val="3"/>
      <w:lvlText w:val=""/>
      <w:lvlJc w:val="left"/>
      <w:pPr>
        <w:tabs>
          <w:tab w:val="num" w:pos="363"/>
        </w:tabs>
        <w:ind w:left="363" w:hanging="363"/>
      </w:pPr>
      <w:rPr>
        <w:rFonts w:ascii="Symbol" w:hAnsi="Symbol" w:hint="default"/>
        <w:color w:val="auto"/>
      </w:rPr>
    </w:lvl>
    <w:lvl w:ilvl="1" w:tplc="04070001" w:tentative="1">
      <w:start w:val="1"/>
      <w:numFmt w:val="bullet"/>
      <w:lvlRestart w:val="0"/>
      <w:lvlText w:val="o"/>
      <w:lvlJc w:val="left"/>
      <w:pPr>
        <w:tabs>
          <w:tab w:val="num" w:pos="1440"/>
        </w:tabs>
        <w:ind w:left="1440" w:hanging="360"/>
      </w:pPr>
      <w:rPr>
        <w:rFonts w:ascii="Courier New" w:hAnsi="Courier New" w:hint="default"/>
      </w:rPr>
    </w:lvl>
    <w:lvl w:ilvl="2" w:tplc="0407001B" w:tentative="1">
      <w:start w:val="1"/>
      <w:numFmt w:val="bullet"/>
      <w:lvlRestart w:val="0"/>
      <w:lvlText w:val=""/>
      <w:lvlJc w:val="left"/>
      <w:pPr>
        <w:tabs>
          <w:tab w:val="num" w:pos="2160"/>
        </w:tabs>
        <w:ind w:left="2160" w:hanging="360"/>
      </w:pPr>
      <w:rPr>
        <w:rFonts w:ascii="Wingdings" w:hAnsi="Wingdings" w:hint="default"/>
      </w:rPr>
    </w:lvl>
    <w:lvl w:ilvl="3" w:tplc="0407000F" w:tentative="1">
      <w:start w:val="1"/>
      <w:numFmt w:val="bullet"/>
      <w:lvlRestart w:val="0"/>
      <w:lvlText w:val=""/>
      <w:lvlJc w:val="left"/>
      <w:pPr>
        <w:tabs>
          <w:tab w:val="num" w:pos="2880"/>
        </w:tabs>
        <w:ind w:left="2880" w:hanging="360"/>
      </w:pPr>
      <w:rPr>
        <w:rFonts w:ascii="Symbol" w:hAnsi="Symbol" w:hint="default"/>
      </w:rPr>
    </w:lvl>
    <w:lvl w:ilvl="4" w:tplc="04070019" w:tentative="1">
      <w:start w:val="1"/>
      <w:numFmt w:val="bullet"/>
      <w:lvlRestart w:val="0"/>
      <w:lvlText w:val="o"/>
      <w:lvlJc w:val="left"/>
      <w:pPr>
        <w:tabs>
          <w:tab w:val="num" w:pos="3600"/>
        </w:tabs>
        <w:ind w:left="3600" w:hanging="360"/>
      </w:pPr>
      <w:rPr>
        <w:rFonts w:ascii="Courier New" w:hAnsi="Courier New" w:hint="default"/>
      </w:rPr>
    </w:lvl>
    <w:lvl w:ilvl="5" w:tplc="0407001B" w:tentative="1">
      <w:start w:val="1"/>
      <w:numFmt w:val="bullet"/>
      <w:lvlRestart w:val="0"/>
      <w:lvlText w:val=""/>
      <w:lvlJc w:val="left"/>
      <w:pPr>
        <w:tabs>
          <w:tab w:val="num" w:pos="4320"/>
        </w:tabs>
        <w:ind w:left="4320" w:hanging="360"/>
      </w:pPr>
      <w:rPr>
        <w:rFonts w:ascii="Wingdings" w:hAnsi="Wingdings" w:hint="default"/>
      </w:rPr>
    </w:lvl>
    <w:lvl w:ilvl="6" w:tplc="0407000F" w:tentative="1">
      <w:start w:val="1"/>
      <w:numFmt w:val="bullet"/>
      <w:lvlRestart w:val="0"/>
      <w:lvlText w:val=""/>
      <w:lvlJc w:val="left"/>
      <w:pPr>
        <w:tabs>
          <w:tab w:val="num" w:pos="5040"/>
        </w:tabs>
        <w:ind w:left="5040" w:hanging="360"/>
      </w:pPr>
      <w:rPr>
        <w:rFonts w:ascii="Symbol" w:hAnsi="Symbol" w:hint="default"/>
      </w:rPr>
    </w:lvl>
    <w:lvl w:ilvl="7" w:tplc="04070019" w:tentative="1">
      <w:start w:val="1"/>
      <w:numFmt w:val="bullet"/>
      <w:lvlRestart w:val="0"/>
      <w:lvlText w:val="o"/>
      <w:lvlJc w:val="left"/>
      <w:pPr>
        <w:tabs>
          <w:tab w:val="num" w:pos="5760"/>
        </w:tabs>
        <w:ind w:left="5760" w:hanging="360"/>
      </w:pPr>
      <w:rPr>
        <w:rFonts w:ascii="Courier New" w:hAnsi="Courier New" w:hint="default"/>
      </w:rPr>
    </w:lvl>
    <w:lvl w:ilvl="8" w:tplc="0407001B" w:tentative="1">
      <w:start w:val="1"/>
      <w:numFmt w:val="bullet"/>
      <w:lvlRestart w:val="0"/>
      <w:lvlText w:val=""/>
      <w:lvlJc w:val="left"/>
      <w:pPr>
        <w:tabs>
          <w:tab w:val="num" w:pos="6480"/>
        </w:tabs>
        <w:ind w:left="6480" w:hanging="360"/>
      </w:pPr>
      <w:rPr>
        <w:rFonts w:ascii="Wingdings" w:hAnsi="Wingdings" w:hint="default"/>
      </w:rPr>
    </w:lvl>
  </w:abstractNum>
  <w:abstractNum w:abstractNumId="8" w15:restartNumberingAfterBreak="0">
    <w:nsid w:val="3E50554E"/>
    <w:multiLevelType w:val="hybridMultilevel"/>
    <w:tmpl w:val="D1FEAA22"/>
    <w:lvl w:ilvl="0" w:tplc="C350622E">
      <w:start w:val="2"/>
      <w:numFmt w:val="bullet"/>
      <w:lvlText w:val="-"/>
      <w:lvlJc w:val="left"/>
      <w:pPr>
        <w:ind w:left="1077" w:hanging="360"/>
      </w:pPr>
      <w:rPr>
        <w:rFonts w:ascii="Aptos" w:eastAsiaTheme="minorHAnsi" w:hAnsi="Aptos" w:cs="Aptos" w:hint="default"/>
        <w:sz w:val="24"/>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9" w15:restartNumberingAfterBreak="0">
    <w:nsid w:val="48224DA9"/>
    <w:multiLevelType w:val="hybridMultilevel"/>
    <w:tmpl w:val="845CE4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9CA13DD"/>
    <w:multiLevelType w:val="multilevel"/>
    <w:tmpl w:val="F2B49252"/>
    <w:lvl w:ilvl="0">
      <w:start w:val="1"/>
      <w:numFmt w:val="decimal"/>
      <w:lvlText w:val="%1."/>
      <w:lvlJc w:val="left"/>
      <w:pPr>
        <w:ind w:left="720" w:hanging="360"/>
      </w:p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11" w15:restartNumberingAfterBreak="0">
    <w:nsid w:val="553A63FA"/>
    <w:multiLevelType w:val="hybridMultilevel"/>
    <w:tmpl w:val="65CA8826"/>
    <w:lvl w:ilvl="0" w:tplc="04080001">
      <w:start w:val="1"/>
      <w:numFmt w:val="bullet"/>
      <w:lvlText w:val=""/>
      <w:lvlJc w:val="left"/>
      <w:pPr>
        <w:ind w:left="765" w:hanging="360"/>
      </w:pPr>
      <w:rPr>
        <w:rFonts w:ascii="Symbol" w:hAnsi="Symbol" w:hint="default"/>
      </w:rPr>
    </w:lvl>
    <w:lvl w:ilvl="1" w:tplc="04080003">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2" w15:restartNumberingAfterBreak="0">
    <w:nsid w:val="63B143A3"/>
    <w:multiLevelType w:val="hybridMultilevel"/>
    <w:tmpl w:val="EB06CA4A"/>
    <w:lvl w:ilvl="0" w:tplc="006EF35C">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4ED12E8"/>
    <w:multiLevelType w:val="multilevel"/>
    <w:tmpl w:val="26ACD7CC"/>
    <w:lvl w:ilvl="0">
      <w:start w:val="1"/>
      <w:numFmt w:val="decimal"/>
      <w:lvlText w:val="%1."/>
      <w:lvlJc w:val="left"/>
      <w:pPr>
        <w:ind w:left="720" w:hanging="360"/>
      </w:pPr>
      <w:rPr>
        <w:rFonts w:hint="default"/>
      </w:rPr>
    </w:lvl>
    <w:lvl w:ilvl="1">
      <w:start w:val="1"/>
      <w:numFmt w:val="decimal"/>
      <w:isLgl/>
      <w:lvlText w:val="%1.%2."/>
      <w:lvlJc w:val="left"/>
      <w:pPr>
        <w:ind w:left="939" w:hanging="360"/>
      </w:pPr>
      <w:rPr>
        <w:rFonts w:hint="default"/>
      </w:rPr>
    </w:lvl>
    <w:lvl w:ilvl="2">
      <w:start w:val="1"/>
      <w:numFmt w:val="decimal"/>
      <w:isLgl/>
      <w:lvlText w:val="%1.%2.%3."/>
      <w:lvlJc w:val="left"/>
      <w:pPr>
        <w:ind w:left="1518" w:hanging="720"/>
      </w:pPr>
      <w:rPr>
        <w:rFonts w:hint="default"/>
      </w:rPr>
    </w:lvl>
    <w:lvl w:ilvl="3">
      <w:start w:val="1"/>
      <w:numFmt w:val="decimal"/>
      <w:isLgl/>
      <w:lvlText w:val="%1.%2.%3.%4."/>
      <w:lvlJc w:val="left"/>
      <w:pPr>
        <w:ind w:left="1737" w:hanging="720"/>
      </w:pPr>
      <w:rPr>
        <w:rFonts w:hint="default"/>
      </w:rPr>
    </w:lvl>
    <w:lvl w:ilvl="4">
      <w:start w:val="1"/>
      <w:numFmt w:val="decimal"/>
      <w:isLgl/>
      <w:lvlText w:val="%1.%2.%3.%4.%5."/>
      <w:lvlJc w:val="left"/>
      <w:pPr>
        <w:ind w:left="2316" w:hanging="1080"/>
      </w:pPr>
      <w:rPr>
        <w:rFonts w:hint="default"/>
      </w:rPr>
    </w:lvl>
    <w:lvl w:ilvl="5">
      <w:start w:val="1"/>
      <w:numFmt w:val="decimal"/>
      <w:isLgl/>
      <w:lvlText w:val="%1.%2.%3.%4.%5.%6."/>
      <w:lvlJc w:val="left"/>
      <w:pPr>
        <w:ind w:left="2535"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333" w:hanging="1440"/>
      </w:pPr>
      <w:rPr>
        <w:rFonts w:hint="default"/>
      </w:rPr>
    </w:lvl>
    <w:lvl w:ilvl="8">
      <w:start w:val="1"/>
      <w:numFmt w:val="decimal"/>
      <w:isLgl/>
      <w:lvlText w:val="%1.%2.%3.%4.%5.%6.%7.%8.%9."/>
      <w:lvlJc w:val="left"/>
      <w:pPr>
        <w:ind w:left="3912" w:hanging="1800"/>
      </w:pPr>
      <w:rPr>
        <w:rFonts w:hint="default"/>
      </w:rPr>
    </w:lvl>
  </w:abstractNum>
  <w:abstractNum w:abstractNumId="14" w15:restartNumberingAfterBreak="0">
    <w:nsid w:val="655662BE"/>
    <w:multiLevelType w:val="hybridMultilevel"/>
    <w:tmpl w:val="CBC862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6FE43B9F"/>
    <w:multiLevelType w:val="hybridMultilevel"/>
    <w:tmpl w:val="F1BE8A44"/>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16" w15:restartNumberingAfterBreak="0">
    <w:nsid w:val="73710BA1"/>
    <w:multiLevelType w:val="hybridMultilevel"/>
    <w:tmpl w:val="F32A3FCE"/>
    <w:lvl w:ilvl="0" w:tplc="0408000F">
      <w:start w:val="1"/>
      <w:numFmt w:val="bullet"/>
      <w:pStyle w:val="Heading1Heading1"/>
      <w:lvlText w:val=""/>
      <w:lvlJc w:val="left"/>
      <w:pPr>
        <w:tabs>
          <w:tab w:val="num" w:pos="720"/>
        </w:tabs>
        <w:ind w:left="720" w:hanging="360"/>
      </w:pPr>
      <w:rPr>
        <w:rFonts w:ascii="Symbol" w:hAnsi="Symbol" w:hint="default"/>
      </w:rPr>
    </w:lvl>
    <w:lvl w:ilvl="1" w:tplc="04080019">
      <w:start w:val="1"/>
      <w:numFmt w:val="bullet"/>
      <w:lvlText w:val="o"/>
      <w:lvlJc w:val="left"/>
      <w:pPr>
        <w:tabs>
          <w:tab w:val="num" w:pos="360"/>
        </w:tabs>
        <w:ind w:left="360" w:hanging="360"/>
      </w:pPr>
      <w:rPr>
        <w:rFonts w:ascii="Courier New" w:hAnsi="Courier New" w:cs="Courier New" w:hint="default"/>
      </w:rPr>
    </w:lvl>
    <w:lvl w:ilvl="2" w:tplc="0408001B">
      <w:start w:val="1"/>
      <w:numFmt w:val="bullet"/>
      <w:lvlText w:val=""/>
      <w:lvlJc w:val="left"/>
      <w:pPr>
        <w:tabs>
          <w:tab w:val="num" w:pos="1080"/>
        </w:tabs>
        <w:ind w:left="1080" w:hanging="360"/>
      </w:pPr>
      <w:rPr>
        <w:rFonts w:ascii="Wingdings" w:hAnsi="Wingdings" w:hint="default"/>
      </w:rPr>
    </w:lvl>
    <w:lvl w:ilvl="3" w:tplc="0408000F">
      <w:start w:val="1"/>
      <w:numFmt w:val="bullet"/>
      <w:lvlText w:val=""/>
      <w:lvlJc w:val="left"/>
      <w:pPr>
        <w:tabs>
          <w:tab w:val="num" w:pos="1800"/>
        </w:tabs>
        <w:ind w:left="1800" w:hanging="360"/>
      </w:pPr>
      <w:rPr>
        <w:rFonts w:ascii="Symbol" w:hAnsi="Symbol" w:hint="default"/>
      </w:rPr>
    </w:lvl>
    <w:lvl w:ilvl="4" w:tplc="04080019" w:tentative="1">
      <w:start w:val="1"/>
      <w:numFmt w:val="bullet"/>
      <w:lvlText w:val="o"/>
      <w:lvlJc w:val="left"/>
      <w:pPr>
        <w:tabs>
          <w:tab w:val="num" w:pos="2520"/>
        </w:tabs>
        <w:ind w:left="2520" w:hanging="360"/>
      </w:pPr>
      <w:rPr>
        <w:rFonts w:ascii="Courier New" w:hAnsi="Courier New" w:cs="Courier New" w:hint="default"/>
      </w:rPr>
    </w:lvl>
    <w:lvl w:ilvl="5" w:tplc="0408001B" w:tentative="1">
      <w:start w:val="1"/>
      <w:numFmt w:val="bullet"/>
      <w:lvlText w:val=""/>
      <w:lvlJc w:val="left"/>
      <w:pPr>
        <w:tabs>
          <w:tab w:val="num" w:pos="3240"/>
        </w:tabs>
        <w:ind w:left="3240" w:hanging="360"/>
      </w:pPr>
      <w:rPr>
        <w:rFonts w:ascii="Wingdings" w:hAnsi="Wingdings" w:hint="default"/>
      </w:rPr>
    </w:lvl>
    <w:lvl w:ilvl="6" w:tplc="0408000F" w:tentative="1">
      <w:start w:val="1"/>
      <w:numFmt w:val="bullet"/>
      <w:lvlText w:val=""/>
      <w:lvlJc w:val="left"/>
      <w:pPr>
        <w:tabs>
          <w:tab w:val="num" w:pos="3960"/>
        </w:tabs>
        <w:ind w:left="3960" w:hanging="360"/>
      </w:pPr>
      <w:rPr>
        <w:rFonts w:ascii="Symbol" w:hAnsi="Symbol" w:hint="default"/>
      </w:rPr>
    </w:lvl>
    <w:lvl w:ilvl="7" w:tplc="04080019" w:tentative="1">
      <w:start w:val="1"/>
      <w:numFmt w:val="bullet"/>
      <w:lvlText w:val="o"/>
      <w:lvlJc w:val="left"/>
      <w:pPr>
        <w:tabs>
          <w:tab w:val="num" w:pos="4680"/>
        </w:tabs>
        <w:ind w:left="4680" w:hanging="360"/>
      </w:pPr>
      <w:rPr>
        <w:rFonts w:ascii="Courier New" w:hAnsi="Courier New" w:cs="Courier New" w:hint="default"/>
      </w:rPr>
    </w:lvl>
    <w:lvl w:ilvl="8" w:tplc="0408001B"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78010BA8"/>
    <w:multiLevelType w:val="multilevel"/>
    <w:tmpl w:val="DF7E86C6"/>
    <w:lvl w:ilvl="0">
      <w:start w:val="1"/>
      <w:numFmt w:val="decimal"/>
      <w:lvlText w:val="%1"/>
      <w:lvlJc w:val="left"/>
      <w:pPr>
        <w:ind w:left="540" w:hanging="540"/>
      </w:pPr>
      <w:rPr>
        <w:rFonts w:hint="default"/>
      </w:rPr>
    </w:lvl>
    <w:lvl w:ilvl="1">
      <w:start w:val="15"/>
      <w:numFmt w:val="decimal"/>
      <w:lvlText w:val="%1.%2"/>
      <w:lvlJc w:val="left"/>
      <w:pPr>
        <w:ind w:left="1009" w:hanging="540"/>
      </w:pPr>
      <w:rPr>
        <w:rFonts w:hint="default"/>
      </w:rPr>
    </w:lvl>
    <w:lvl w:ilvl="2">
      <w:start w:val="1"/>
      <w:numFmt w:val="decimal"/>
      <w:lvlText w:val="%1.%2.%3"/>
      <w:lvlJc w:val="left"/>
      <w:pPr>
        <w:ind w:left="1658" w:hanging="720"/>
      </w:pPr>
      <w:rPr>
        <w:rFonts w:hint="default"/>
      </w:rPr>
    </w:lvl>
    <w:lvl w:ilvl="3">
      <w:start w:val="1"/>
      <w:numFmt w:val="decimal"/>
      <w:lvlText w:val="%1.%2.%3.%4"/>
      <w:lvlJc w:val="left"/>
      <w:pPr>
        <w:ind w:left="2127" w:hanging="720"/>
      </w:pPr>
      <w:rPr>
        <w:rFonts w:hint="default"/>
      </w:rPr>
    </w:lvl>
    <w:lvl w:ilvl="4">
      <w:start w:val="1"/>
      <w:numFmt w:val="decimal"/>
      <w:lvlText w:val="%1.%2.%3.%4.%5"/>
      <w:lvlJc w:val="left"/>
      <w:pPr>
        <w:ind w:left="2956" w:hanging="1080"/>
      </w:pPr>
      <w:rPr>
        <w:rFonts w:hint="default"/>
      </w:rPr>
    </w:lvl>
    <w:lvl w:ilvl="5">
      <w:start w:val="1"/>
      <w:numFmt w:val="decimal"/>
      <w:lvlText w:val="%1.%2.%3.%4.%5.%6"/>
      <w:lvlJc w:val="left"/>
      <w:pPr>
        <w:ind w:left="3425" w:hanging="1080"/>
      </w:pPr>
      <w:rPr>
        <w:rFonts w:hint="default"/>
      </w:rPr>
    </w:lvl>
    <w:lvl w:ilvl="6">
      <w:start w:val="1"/>
      <w:numFmt w:val="decimal"/>
      <w:lvlText w:val="%1.%2.%3.%4.%5.%6.%7"/>
      <w:lvlJc w:val="left"/>
      <w:pPr>
        <w:ind w:left="4254" w:hanging="1440"/>
      </w:pPr>
      <w:rPr>
        <w:rFonts w:hint="default"/>
      </w:rPr>
    </w:lvl>
    <w:lvl w:ilvl="7">
      <w:start w:val="1"/>
      <w:numFmt w:val="decimal"/>
      <w:lvlText w:val="%1.%2.%3.%4.%5.%6.%7.%8"/>
      <w:lvlJc w:val="left"/>
      <w:pPr>
        <w:ind w:left="4723" w:hanging="1440"/>
      </w:pPr>
      <w:rPr>
        <w:rFonts w:hint="default"/>
      </w:rPr>
    </w:lvl>
    <w:lvl w:ilvl="8">
      <w:start w:val="1"/>
      <w:numFmt w:val="decimal"/>
      <w:lvlText w:val="%1.%2.%3.%4.%5.%6.%7.%8.%9"/>
      <w:lvlJc w:val="left"/>
      <w:pPr>
        <w:ind w:left="5192" w:hanging="1440"/>
      </w:pPr>
      <w:rPr>
        <w:rFonts w:hint="default"/>
      </w:rPr>
    </w:lvl>
  </w:abstractNum>
  <w:abstractNum w:abstractNumId="18" w15:restartNumberingAfterBreak="0">
    <w:nsid w:val="78B46C28"/>
    <w:multiLevelType w:val="hybridMultilevel"/>
    <w:tmpl w:val="192AB7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B042768"/>
    <w:multiLevelType w:val="hybridMultilevel"/>
    <w:tmpl w:val="15B41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DD81971"/>
    <w:multiLevelType w:val="multilevel"/>
    <w:tmpl w:val="934E837C"/>
    <w:lvl w:ilvl="0">
      <w:start w:val="1"/>
      <w:numFmt w:val="decimal"/>
      <w:lvlText w:val="%1."/>
      <w:lvlJc w:val="left"/>
      <w:pPr>
        <w:ind w:left="600" w:hanging="600"/>
      </w:pPr>
      <w:rPr>
        <w:rFonts w:hint="default"/>
      </w:rPr>
    </w:lvl>
    <w:lvl w:ilvl="1">
      <w:start w:val="15"/>
      <w:numFmt w:val="decimal"/>
      <w:lvlText w:val="%1.%2."/>
      <w:lvlJc w:val="left"/>
      <w:pPr>
        <w:ind w:left="960" w:hanging="60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7"/>
  </w:num>
  <w:num w:numId="2">
    <w:abstractNumId w:val="16"/>
  </w:num>
  <w:num w:numId="3">
    <w:abstractNumId w:val="6"/>
  </w:num>
  <w:num w:numId="4">
    <w:abstractNumId w:val="12"/>
  </w:num>
  <w:num w:numId="5">
    <w:abstractNumId w:val="10"/>
  </w:num>
  <w:num w:numId="6">
    <w:abstractNumId w:val="13"/>
  </w:num>
  <w:num w:numId="7">
    <w:abstractNumId w:val="11"/>
  </w:num>
  <w:num w:numId="8">
    <w:abstractNumId w:val="17"/>
  </w:num>
  <w:num w:numId="9">
    <w:abstractNumId w:val="20"/>
  </w:num>
  <w:num w:numId="10">
    <w:abstractNumId w:val="3"/>
  </w:num>
  <w:num w:numId="11">
    <w:abstractNumId w:val="2"/>
  </w:num>
  <w:num w:numId="12">
    <w:abstractNumId w:val="18"/>
  </w:num>
  <w:num w:numId="13">
    <w:abstractNumId w:val="14"/>
  </w:num>
  <w:num w:numId="14">
    <w:abstractNumId w:val="4"/>
  </w:num>
  <w:num w:numId="15">
    <w:abstractNumId w:val="0"/>
  </w:num>
  <w:num w:numId="16">
    <w:abstractNumId w:val="5"/>
  </w:num>
  <w:num w:numId="17">
    <w:abstractNumId w:val="9"/>
  </w:num>
  <w:num w:numId="18">
    <w:abstractNumId w:val="1"/>
  </w:num>
  <w:num w:numId="19">
    <w:abstractNumId w:val="8"/>
  </w:num>
  <w:num w:numId="20">
    <w:abstractNumId w:val="15"/>
  </w:num>
  <w:num w:numId="21">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oNotTrackFormatting/>
  <w:defaultTabStop w:val="720"/>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ED3"/>
    <w:rsid w:val="0000011E"/>
    <w:rsid w:val="00001A5F"/>
    <w:rsid w:val="00001C79"/>
    <w:rsid w:val="000023A6"/>
    <w:rsid w:val="00004820"/>
    <w:rsid w:val="00005DC8"/>
    <w:rsid w:val="000071CC"/>
    <w:rsid w:val="00010430"/>
    <w:rsid w:val="00010451"/>
    <w:rsid w:val="00010AF6"/>
    <w:rsid w:val="00011AB5"/>
    <w:rsid w:val="000130A9"/>
    <w:rsid w:val="000136EE"/>
    <w:rsid w:val="00015231"/>
    <w:rsid w:val="00015777"/>
    <w:rsid w:val="000170EB"/>
    <w:rsid w:val="00017B3B"/>
    <w:rsid w:val="000238E3"/>
    <w:rsid w:val="00023EDE"/>
    <w:rsid w:val="00024E44"/>
    <w:rsid w:val="000251A0"/>
    <w:rsid w:val="000263A2"/>
    <w:rsid w:val="00026A29"/>
    <w:rsid w:val="00026CE8"/>
    <w:rsid w:val="00027056"/>
    <w:rsid w:val="00027EBB"/>
    <w:rsid w:val="00030318"/>
    <w:rsid w:val="00030D7F"/>
    <w:rsid w:val="00032612"/>
    <w:rsid w:val="00032F0C"/>
    <w:rsid w:val="000347AE"/>
    <w:rsid w:val="00036DEB"/>
    <w:rsid w:val="000408D8"/>
    <w:rsid w:val="00042990"/>
    <w:rsid w:val="0004301B"/>
    <w:rsid w:val="00044245"/>
    <w:rsid w:val="000442DC"/>
    <w:rsid w:val="00044D04"/>
    <w:rsid w:val="00045F0D"/>
    <w:rsid w:val="000465E5"/>
    <w:rsid w:val="00046E8F"/>
    <w:rsid w:val="00047B7C"/>
    <w:rsid w:val="00050905"/>
    <w:rsid w:val="00051E93"/>
    <w:rsid w:val="000530AC"/>
    <w:rsid w:val="000539EB"/>
    <w:rsid w:val="000540C4"/>
    <w:rsid w:val="00055F18"/>
    <w:rsid w:val="00056472"/>
    <w:rsid w:val="00057E9F"/>
    <w:rsid w:val="00060F81"/>
    <w:rsid w:val="00063071"/>
    <w:rsid w:val="00065121"/>
    <w:rsid w:val="00065A85"/>
    <w:rsid w:val="00066465"/>
    <w:rsid w:val="000669DA"/>
    <w:rsid w:val="00066D46"/>
    <w:rsid w:val="00070BA0"/>
    <w:rsid w:val="00071E49"/>
    <w:rsid w:val="00073912"/>
    <w:rsid w:val="00075BE5"/>
    <w:rsid w:val="000764B5"/>
    <w:rsid w:val="00077EDB"/>
    <w:rsid w:val="00081810"/>
    <w:rsid w:val="00081D34"/>
    <w:rsid w:val="0008418E"/>
    <w:rsid w:val="000846A6"/>
    <w:rsid w:val="00085455"/>
    <w:rsid w:val="00085B02"/>
    <w:rsid w:val="00086640"/>
    <w:rsid w:val="00090C3E"/>
    <w:rsid w:val="00091C95"/>
    <w:rsid w:val="00092A9F"/>
    <w:rsid w:val="00093EAB"/>
    <w:rsid w:val="000940B8"/>
    <w:rsid w:val="00096D39"/>
    <w:rsid w:val="000A1685"/>
    <w:rsid w:val="000A293C"/>
    <w:rsid w:val="000A42FC"/>
    <w:rsid w:val="000A69B0"/>
    <w:rsid w:val="000A700B"/>
    <w:rsid w:val="000B03A7"/>
    <w:rsid w:val="000B2898"/>
    <w:rsid w:val="000B28FD"/>
    <w:rsid w:val="000B36B4"/>
    <w:rsid w:val="000B4E72"/>
    <w:rsid w:val="000B5200"/>
    <w:rsid w:val="000B5C11"/>
    <w:rsid w:val="000B5F23"/>
    <w:rsid w:val="000B62AC"/>
    <w:rsid w:val="000B62B0"/>
    <w:rsid w:val="000B7B1A"/>
    <w:rsid w:val="000C14A1"/>
    <w:rsid w:val="000C22F8"/>
    <w:rsid w:val="000C395C"/>
    <w:rsid w:val="000C60B0"/>
    <w:rsid w:val="000C6BDB"/>
    <w:rsid w:val="000C70C6"/>
    <w:rsid w:val="000C7CD6"/>
    <w:rsid w:val="000D14A6"/>
    <w:rsid w:val="000D3226"/>
    <w:rsid w:val="000D43F3"/>
    <w:rsid w:val="000D6CD4"/>
    <w:rsid w:val="000E1AC0"/>
    <w:rsid w:val="000E3BF6"/>
    <w:rsid w:val="000E46DD"/>
    <w:rsid w:val="000E61A2"/>
    <w:rsid w:val="000F0C65"/>
    <w:rsid w:val="000F1DC9"/>
    <w:rsid w:val="000F2095"/>
    <w:rsid w:val="000F2C47"/>
    <w:rsid w:val="000F4DD1"/>
    <w:rsid w:val="00101887"/>
    <w:rsid w:val="00103732"/>
    <w:rsid w:val="00103D14"/>
    <w:rsid w:val="00104A92"/>
    <w:rsid w:val="001059A0"/>
    <w:rsid w:val="001059AA"/>
    <w:rsid w:val="00105E87"/>
    <w:rsid w:val="00107453"/>
    <w:rsid w:val="00111240"/>
    <w:rsid w:val="00111C02"/>
    <w:rsid w:val="0011386A"/>
    <w:rsid w:val="00114632"/>
    <w:rsid w:val="00116AC7"/>
    <w:rsid w:val="0011765C"/>
    <w:rsid w:val="00120254"/>
    <w:rsid w:val="00120FD8"/>
    <w:rsid w:val="00122CD1"/>
    <w:rsid w:val="00124116"/>
    <w:rsid w:val="00124E06"/>
    <w:rsid w:val="00126C3F"/>
    <w:rsid w:val="001332AC"/>
    <w:rsid w:val="00133834"/>
    <w:rsid w:val="001338EF"/>
    <w:rsid w:val="00134067"/>
    <w:rsid w:val="00135624"/>
    <w:rsid w:val="001364EE"/>
    <w:rsid w:val="00137B78"/>
    <w:rsid w:val="00141D39"/>
    <w:rsid w:val="00142AF6"/>
    <w:rsid w:val="00143F0E"/>
    <w:rsid w:val="001443A4"/>
    <w:rsid w:val="001449A7"/>
    <w:rsid w:val="00145692"/>
    <w:rsid w:val="001457DF"/>
    <w:rsid w:val="001457E8"/>
    <w:rsid w:val="001509B5"/>
    <w:rsid w:val="00151AE1"/>
    <w:rsid w:val="00151FB0"/>
    <w:rsid w:val="0015235B"/>
    <w:rsid w:val="00154F97"/>
    <w:rsid w:val="001555C1"/>
    <w:rsid w:val="00161AEE"/>
    <w:rsid w:val="00161C65"/>
    <w:rsid w:val="0016360E"/>
    <w:rsid w:val="00165353"/>
    <w:rsid w:val="0016753C"/>
    <w:rsid w:val="00170166"/>
    <w:rsid w:val="00170E3B"/>
    <w:rsid w:val="00170E69"/>
    <w:rsid w:val="00172784"/>
    <w:rsid w:val="00172856"/>
    <w:rsid w:val="0017485D"/>
    <w:rsid w:val="0017497B"/>
    <w:rsid w:val="00174F11"/>
    <w:rsid w:val="00180D76"/>
    <w:rsid w:val="00182249"/>
    <w:rsid w:val="00182F96"/>
    <w:rsid w:val="00183EDA"/>
    <w:rsid w:val="00184235"/>
    <w:rsid w:val="00184417"/>
    <w:rsid w:val="00186983"/>
    <w:rsid w:val="00186E60"/>
    <w:rsid w:val="00187F81"/>
    <w:rsid w:val="0019036D"/>
    <w:rsid w:val="001907EB"/>
    <w:rsid w:val="00190CDE"/>
    <w:rsid w:val="00191908"/>
    <w:rsid w:val="00191FE1"/>
    <w:rsid w:val="00193294"/>
    <w:rsid w:val="00193756"/>
    <w:rsid w:val="00194018"/>
    <w:rsid w:val="001942A6"/>
    <w:rsid w:val="0019505D"/>
    <w:rsid w:val="001954C1"/>
    <w:rsid w:val="001958D8"/>
    <w:rsid w:val="00196E72"/>
    <w:rsid w:val="00197F52"/>
    <w:rsid w:val="001A0030"/>
    <w:rsid w:val="001A048F"/>
    <w:rsid w:val="001A0BFF"/>
    <w:rsid w:val="001A0DE6"/>
    <w:rsid w:val="001A15B7"/>
    <w:rsid w:val="001A3037"/>
    <w:rsid w:val="001A3AF4"/>
    <w:rsid w:val="001A414B"/>
    <w:rsid w:val="001A44A1"/>
    <w:rsid w:val="001A49F8"/>
    <w:rsid w:val="001A5CB6"/>
    <w:rsid w:val="001A68AA"/>
    <w:rsid w:val="001A7514"/>
    <w:rsid w:val="001B02FB"/>
    <w:rsid w:val="001B0344"/>
    <w:rsid w:val="001B1DE4"/>
    <w:rsid w:val="001B1EBF"/>
    <w:rsid w:val="001B3750"/>
    <w:rsid w:val="001B37A5"/>
    <w:rsid w:val="001B3B3B"/>
    <w:rsid w:val="001B43D5"/>
    <w:rsid w:val="001B486A"/>
    <w:rsid w:val="001B5A26"/>
    <w:rsid w:val="001C082B"/>
    <w:rsid w:val="001C10D8"/>
    <w:rsid w:val="001C2371"/>
    <w:rsid w:val="001C2A9D"/>
    <w:rsid w:val="001C30BB"/>
    <w:rsid w:val="001C318C"/>
    <w:rsid w:val="001C3A74"/>
    <w:rsid w:val="001C4C78"/>
    <w:rsid w:val="001C5796"/>
    <w:rsid w:val="001C6411"/>
    <w:rsid w:val="001C7564"/>
    <w:rsid w:val="001C75BD"/>
    <w:rsid w:val="001C7AE5"/>
    <w:rsid w:val="001D00E7"/>
    <w:rsid w:val="001D0BB0"/>
    <w:rsid w:val="001D1FF8"/>
    <w:rsid w:val="001D2DE3"/>
    <w:rsid w:val="001D3B81"/>
    <w:rsid w:val="001D406C"/>
    <w:rsid w:val="001D4B5D"/>
    <w:rsid w:val="001D564B"/>
    <w:rsid w:val="001D62B9"/>
    <w:rsid w:val="001E04A7"/>
    <w:rsid w:val="001E0B61"/>
    <w:rsid w:val="001E12D0"/>
    <w:rsid w:val="001E2D7C"/>
    <w:rsid w:val="001E5B9D"/>
    <w:rsid w:val="001E6380"/>
    <w:rsid w:val="001E6ABE"/>
    <w:rsid w:val="001E6D43"/>
    <w:rsid w:val="001E6E8F"/>
    <w:rsid w:val="001E79C4"/>
    <w:rsid w:val="001E7DA8"/>
    <w:rsid w:val="001F2760"/>
    <w:rsid w:val="001F39E3"/>
    <w:rsid w:val="001F430B"/>
    <w:rsid w:val="001F4475"/>
    <w:rsid w:val="001F4AA8"/>
    <w:rsid w:val="001F4DF9"/>
    <w:rsid w:val="001F510B"/>
    <w:rsid w:val="001F54ED"/>
    <w:rsid w:val="001F5A11"/>
    <w:rsid w:val="001F5E54"/>
    <w:rsid w:val="001F73B3"/>
    <w:rsid w:val="001F7427"/>
    <w:rsid w:val="00201EBD"/>
    <w:rsid w:val="00207308"/>
    <w:rsid w:val="00210257"/>
    <w:rsid w:val="002114FE"/>
    <w:rsid w:val="00211DDF"/>
    <w:rsid w:val="00212EB2"/>
    <w:rsid w:val="002137DA"/>
    <w:rsid w:val="0021456F"/>
    <w:rsid w:val="00214D22"/>
    <w:rsid w:val="00214D9A"/>
    <w:rsid w:val="00214F3E"/>
    <w:rsid w:val="002150FB"/>
    <w:rsid w:val="002158C4"/>
    <w:rsid w:val="00215B5B"/>
    <w:rsid w:val="00215FAE"/>
    <w:rsid w:val="0021604C"/>
    <w:rsid w:val="002176FB"/>
    <w:rsid w:val="00217A0A"/>
    <w:rsid w:val="00217D22"/>
    <w:rsid w:val="00224BA1"/>
    <w:rsid w:val="00224D3E"/>
    <w:rsid w:val="00225814"/>
    <w:rsid w:val="00225F32"/>
    <w:rsid w:val="002265A9"/>
    <w:rsid w:val="00227CAB"/>
    <w:rsid w:val="00230380"/>
    <w:rsid w:val="002329E2"/>
    <w:rsid w:val="0023357D"/>
    <w:rsid w:val="00233E66"/>
    <w:rsid w:val="0023426A"/>
    <w:rsid w:val="00234AD9"/>
    <w:rsid w:val="00235A94"/>
    <w:rsid w:val="00236FA2"/>
    <w:rsid w:val="00240BCE"/>
    <w:rsid w:val="00242D8D"/>
    <w:rsid w:val="002431CC"/>
    <w:rsid w:val="00244893"/>
    <w:rsid w:val="002463A3"/>
    <w:rsid w:val="00246A7F"/>
    <w:rsid w:val="00247868"/>
    <w:rsid w:val="00256573"/>
    <w:rsid w:val="00256A5D"/>
    <w:rsid w:val="002570FE"/>
    <w:rsid w:val="0025734D"/>
    <w:rsid w:val="00257C4F"/>
    <w:rsid w:val="00260390"/>
    <w:rsid w:val="00260A6B"/>
    <w:rsid w:val="00260DCB"/>
    <w:rsid w:val="0026125E"/>
    <w:rsid w:val="00263025"/>
    <w:rsid w:val="00264318"/>
    <w:rsid w:val="00264600"/>
    <w:rsid w:val="002648E1"/>
    <w:rsid w:val="002650E0"/>
    <w:rsid w:val="00265129"/>
    <w:rsid w:val="00265C8D"/>
    <w:rsid w:val="002665CD"/>
    <w:rsid w:val="002672BB"/>
    <w:rsid w:val="00270305"/>
    <w:rsid w:val="002703FF"/>
    <w:rsid w:val="00270DFE"/>
    <w:rsid w:val="00271265"/>
    <w:rsid w:val="00271911"/>
    <w:rsid w:val="00273E81"/>
    <w:rsid w:val="00273FB4"/>
    <w:rsid w:val="00275387"/>
    <w:rsid w:val="00277126"/>
    <w:rsid w:val="00277D28"/>
    <w:rsid w:val="00280A28"/>
    <w:rsid w:val="00283F12"/>
    <w:rsid w:val="00285531"/>
    <w:rsid w:val="00285A0A"/>
    <w:rsid w:val="002867FC"/>
    <w:rsid w:val="00286A10"/>
    <w:rsid w:val="00287402"/>
    <w:rsid w:val="00287BCC"/>
    <w:rsid w:val="00287CC4"/>
    <w:rsid w:val="002910B5"/>
    <w:rsid w:val="002910C5"/>
    <w:rsid w:val="00291870"/>
    <w:rsid w:val="0029271F"/>
    <w:rsid w:val="00292F97"/>
    <w:rsid w:val="00295F53"/>
    <w:rsid w:val="00296349"/>
    <w:rsid w:val="00296F0B"/>
    <w:rsid w:val="00297081"/>
    <w:rsid w:val="002A07D2"/>
    <w:rsid w:val="002A0D25"/>
    <w:rsid w:val="002A18D9"/>
    <w:rsid w:val="002A1F6C"/>
    <w:rsid w:val="002A2674"/>
    <w:rsid w:val="002A350E"/>
    <w:rsid w:val="002A3F7F"/>
    <w:rsid w:val="002A4745"/>
    <w:rsid w:val="002A4D6C"/>
    <w:rsid w:val="002A5723"/>
    <w:rsid w:val="002B1BCB"/>
    <w:rsid w:val="002B33F5"/>
    <w:rsid w:val="002B373F"/>
    <w:rsid w:val="002B3B7D"/>
    <w:rsid w:val="002B4B56"/>
    <w:rsid w:val="002B4B59"/>
    <w:rsid w:val="002C19E9"/>
    <w:rsid w:val="002C28ED"/>
    <w:rsid w:val="002C3133"/>
    <w:rsid w:val="002C3493"/>
    <w:rsid w:val="002C37AB"/>
    <w:rsid w:val="002C3854"/>
    <w:rsid w:val="002C39D1"/>
    <w:rsid w:val="002C406D"/>
    <w:rsid w:val="002C59B4"/>
    <w:rsid w:val="002C5E5B"/>
    <w:rsid w:val="002C6E2A"/>
    <w:rsid w:val="002C7DB7"/>
    <w:rsid w:val="002D2A57"/>
    <w:rsid w:val="002D2CFF"/>
    <w:rsid w:val="002D3133"/>
    <w:rsid w:val="002D3C27"/>
    <w:rsid w:val="002D3C82"/>
    <w:rsid w:val="002D47D3"/>
    <w:rsid w:val="002D512D"/>
    <w:rsid w:val="002D6077"/>
    <w:rsid w:val="002D62DE"/>
    <w:rsid w:val="002D6550"/>
    <w:rsid w:val="002D6D78"/>
    <w:rsid w:val="002D70C9"/>
    <w:rsid w:val="002E118C"/>
    <w:rsid w:val="002E14A5"/>
    <w:rsid w:val="002E1917"/>
    <w:rsid w:val="002E1A96"/>
    <w:rsid w:val="002E386F"/>
    <w:rsid w:val="002E4F8E"/>
    <w:rsid w:val="002E51E4"/>
    <w:rsid w:val="002E6328"/>
    <w:rsid w:val="002E69B7"/>
    <w:rsid w:val="002F0007"/>
    <w:rsid w:val="002F04EE"/>
    <w:rsid w:val="002F1D80"/>
    <w:rsid w:val="002F37C2"/>
    <w:rsid w:val="002F4354"/>
    <w:rsid w:val="002F49DD"/>
    <w:rsid w:val="002F4F59"/>
    <w:rsid w:val="002F5784"/>
    <w:rsid w:val="002F6D23"/>
    <w:rsid w:val="002F7425"/>
    <w:rsid w:val="002F7472"/>
    <w:rsid w:val="002F7B80"/>
    <w:rsid w:val="002F7E7B"/>
    <w:rsid w:val="003010EF"/>
    <w:rsid w:val="00303838"/>
    <w:rsid w:val="00310166"/>
    <w:rsid w:val="003116A0"/>
    <w:rsid w:val="00312801"/>
    <w:rsid w:val="0031404C"/>
    <w:rsid w:val="003140CD"/>
    <w:rsid w:val="00314D1D"/>
    <w:rsid w:val="00316832"/>
    <w:rsid w:val="00316A05"/>
    <w:rsid w:val="00320AAE"/>
    <w:rsid w:val="003248BA"/>
    <w:rsid w:val="003272EA"/>
    <w:rsid w:val="003341B4"/>
    <w:rsid w:val="00334AE9"/>
    <w:rsid w:val="0033584B"/>
    <w:rsid w:val="00336423"/>
    <w:rsid w:val="003408FC"/>
    <w:rsid w:val="00340C6C"/>
    <w:rsid w:val="00340F22"/>
    <w:rsid w:val="00341092"/>
    <w:rsid w:val="003433AA"/>
    <w:rsid w:val="00345E1D"/>
    <w:rsid w:val="00346D93"/>
    <w:rsid w:val="00346DE6"/>
    <w:rsid w:val="00347315"/>
    <w:rsid w:val="00347B73"/>
    <w:rsid w:val="00350E9D"/>
    <w:rsid w:val="00351D3A"/>
    <w:rsid w:val="003529C9"/>
    <w:rsid w:val="003542EA"/>
    <w:rsid w:val="00354E4F"/>
    <w:rsid w:val="00355535"/>
    <w:rsid w:val="00355870"/>
    <w:rsid w:val="00356461"/>
    <w:rsid w:val="00360875"/>
    <w:rsid w:val="0036126A"/>
    <w:rsid w:val="0036524A"/>
    <w:rsid w:val="0036609A"/>
    <w:rsid w:val="00366E3C"/>
    <w:rsid w:val="003675CE"/>
    <w:rsid w:val="003677B1"/>
    <w:rsid w:val="00370626"/>
    <w:rsid w:val="00370B87"/>
    <w:rsid w:val="00371621"/>
    <w:rsid w:val="00371DE8"/>
    <w:rsid w:val="003723FE"/>
    <w:rsid w:val="00372DE5"/>
    <w:rsid w:val="00373F0D"/>
    <w:rsid w:val="003752E3"/>
    <w:rsid w:val="003757BA"/>
    <w:rsid w:val="00375891"/>
    <w:rsid w:val="00375CA1"/>
    <w:rsid w:val="003765E5"/>
    <w:rsid w:val="003801EE"/>
    <w:rsid w:val="00380B64"/>
    <w:rsid w:val="00381103"/>
    <w:rsid w:val="0038303F"/>
    <w:rsid w:val="00383229"/>
    <w:rsid w:val="003837D0"/>
    <w:rsid w:val="0038430A"/>
    <w:rsid w:val="00385CDA"/>
    <w:rsid w:val="00391258"/>
    <w:rsid w:val="00391BCD"/>
    <w:rsid w:val="00392105"/>
    <w:rsid w:val="00392B3A"/>
    <w:rsid w:val="0039649F"/>
    <w:rsid w:val="00396EE5"/>
    <w:rsid w:val="00397193"/>
    <w:rsid w:val="00397616"/>
    <w:rsid w:val="00397AE2"/>
    <w:rsid w:val="003A0870"/>
    <w:rsid w:val="003A08D3"/>
    <w:rsid w:val="003A3BAF"/>
    <w:rsid w:val="003A3EE5"/>
    <w:rsid w:val="003A5530"/>
    <w:rsid w:val="003A5885"/>
    <w:rsid w:val="003A71F9"/>
    <w:rsid w:val="003B0BD5"/>
    <w:rsid w:val="003B15DC"/>
    <w:rsid w:val="003B2066"/>
    <w:rsid w:val="003B2D97"/>
    <w:rsid w:val="003B2F87"/>
    <w:rsid w:val="003B3334"/>
    <w:rsid w:val="003B3C50"/>
    <w:rsid w:val="003B3F4A"/>
    <w:rsid w:val="003B4324"/>
    <w:rsid w:val="003B438D"/>
    <w:rsid w:val="003B599C"/>
    <w:rsid w:val="003C1396"/>
    <w:rsid w:val="003C1D84"/>
    <w:rsid w:val="003C266C"/>
    <w:rsid w:val="003C28FC"/>
    <w:rsid w:val="003C293A"/>
    <w:rsid w:val="003C34C3"/>
    <w:rsid w:val="003C397C"/>
    <w:rsid w:val="003C3FAC"/>
    <w:rsid w:val="003C4DA7"/>
    <w:rsid w:val="003C52EB"/>
    <w:rsid w:val="003D0781"/>
    <w:rsid w:val="003D1D0E"/>
    <w:rsid w:val="003D2167"/>
    <w:rsid w:val="003D333B"/>
    <w:rsid w:val="003D36A6"/>
    <w:rsid w:val="003D3E83"/>
    <w:rsid w:val="003D3FCB"/>
    <w:rsid w:val="003D5862"/>
    <w:rsid w:val="003D5C3F"/>
    <w:rsid w:val="003D60B5"/>
    <w:rsid w:val="003E2984"/>
    <w:rsid w:val="003E47E9"/>
    <w:rsid w:val="003E47FB"/>
    <w:rsid w:val="003E6338"/>
    <w:rsid w:val="003E637B"/>
    <w:rsid w:val="003E6942"/>
    <w:rsid w:val="003E7A97"/>
    <w:rsid w:val="003E7E73"/>
    <w:rsid w:val="003E7EC7"/>
    <w:rsid w:val="003F06AA"/>
    <w:rsid w:val="003F0B31"/>
    <w:rsid w:val="003F5493"/>
    <w:rsid w:val="003F579A"/>
    <w:rsid w:val="003F614D"/>
    <w:rsid w:val="003F71E7"/>
    <w:rsid w:val="003F776F"/>
    <w:rsid w:val="003F7925"/>
    <w:rsid w:val="00400909"/>
    <w:rsid w:val="004014AE"/>
    <w:rsid w:val="00402FE8"/>
    <w:rsid w:val="00404562"/>
    <w:rsid w:val="00404D6B"/>
    <w:rsid w:val="00404F7C"/>
    <w:rsid w:val="00406137"/>
    <w:rsid w:val="004078A8"/>
    <w:rsid w:val="004118C9"/>
    <w:rsid w:val="00415086"/>
    <w:rsid w:val="00417110"/>
    <w:rsid w:val="004173FF"/>
    <w:rsid w:val="0041797B"/>
    <w:rsid w:val="0042002F"/>
    <w:rsid w:val="004227A3"/>
    <w:rsid w:val="00422888"/>
    <w:rsid w:val="00422C15"/>
    <w:rsid w:val="00423A33"/>
    <w:rsid w:val="00423C59"/>
    <w:rsid w:val="00425073"/>
    <w:rsid w:val="004252BF"/>
    <w:rsid w:val="00425633"/>
    <w:rsid w:val="00425F7E"/>
    <w:rsid w:val="00426604"/>
    <w:rsid w:val="0042671F"/>
    <w:rsid w:val="00427297"/>
    <w:rsid w:val="004277E2"/>
    <w:rsid w:val="00432007"/>
    <w:rsid w:val="00432347"/>
    <w:rsid w:val="00433EE1"/>
    <w:rsid w:val="004340ED"/>
    <w:rsid w:val="0043474E"/>
    <w:rsid w:val="00434984"/>
    <w:rsid w:val="00434B1A"/>
    <w:rsid w:val="004351A5"/>
    <w:rsid w:val="00435AA3"/>
    <w:rsid w:val="004368D8"/>
    <w:rsid w:val="00437830"/>
    <w:rsid w:val="004409A6"/>
    <w:rsid w:val="00441DB2"/>
    <w:rsid w:val="0044299A"/>
    <w:rsid w:val="00450A12"/>
    <w:rsid w:val="00450CAE"/>
    <w:rsid w:val="0045220A"/>
    <w:rsid w:val="0045348A"/>
    <w:rsid w:val="00454BD2"/>
    <w:rsid w:val="004552CE"/>
    <w:rsid w:val="0045773C"/>
    <w:rsid w:val="00457C94"/>
    <w:rsid w:val="00462856"/>
    <w:rsid w:val="00464C37"/>
    <w:rsid w:val="00465401"/>
    <w:rsid w:val="00465773"/>
    <w:rsid w:val="004660C5"/>
    <w:rsid w:val="0046694F"/>
    <w:rsid w:val="00467A75"/>
    <w:rsid w:val="00467F5F"/>
    <w:rsid w:val="0047093A"/>
    <w:rsid w:val="00472B8B"/>
    <w:rsid w:val="0047493E"/>
    <w:rsid w:val="00476FCE"/>
    <w:rsid w:val="00477581"/>
    <w:rsid w:val="004804FA"/>
    <w:rsid w:val="004808F9"/>
    <w:rsid w:val="00483008"/>
    <w:rsid w:val="00483148"/>
    <w:rsid w:val="00485809"/>
    <w:rsid w:val="00485D8F"/>
    <w:rsid w:val="00485F05"/>
    <w:rsid w:val="00486EBF"/>
    <w:rsid w:val="00486ED4"/>
    <w:rsid w:val="004870D5"/>
    <w:rsid w:val="0048716B"/>
    <w:rsid w:val="00487AA2"/>
    <w:rsid w:val="0049053C"/>
    <w:rsid w:val="004909E8"/>
    <w:rsid w:val="0049157E"/>
    <w:rsid w:val="0049230D"/>
    <w:rsid w:val="00492F50"/>
    <w:rsid w:val="0049362B"/>
    <w:rsid w:val="00493F8D"/>
    <w:rsid w:val="00494243"/>
    <w:rsid w:val="0049531E"/>
    <w:rsid w:val="004958FB"/>
    <w:rsid w:val="004A23A1"/>
    <w:rsid w:val="004A46B6"/>
    <w:rsid w:val="004A4D07"/>
    <w:rsid w:val="004A5325"/>
    <w:rsid w:val="004A61B2"/>
    <w:rsid w:val="004B010B"/>
    <w:rsid w:val="004B1618"/>
    <w:rsid w:val="004B1C2F"/>
    <w:rsid w:val="004B2F24"/>
    <w:rsid w:val="004B4098"/>
    <w:rsid w:val="004B4106"/>
    <w:rsid w:val="004B5C7A"/>
    <w:rsid w:val="004B6B66"/>
    <w:rsid w:val="004B6DC3"/>
    <w:rsid w:val="004B7108"/>
    <w:rsid w:val="004B71F5"/>
    <w:rsid w:val="004B76D3"/>
    <w:rsid w:val="004B78DA"/>
    <w:rsid w:val="004C073D"/>
    <w:rsid w:val="004C1880"/>
    <w:rsid w:val="004C21EB"/>
    <w:rsid w:val="004C25B3"/>
    <w:rsid w:val="004C2D7B"/>
    <w:rsid w:val="004C2FB3"/>
    <w:rsid w:val="004C30BC"/>
    <w:rsid w:val="004C31B3"/>
    <w:rsid w:val="004C475A"/>
    <w:rsid w:val="004C5A8B"/>
    <w:rsid w:val="004C5F29"/>
    <w:rsid w:val="004C6036"/>
    <w:rsid w:val="004D032B"/>
    <w:rsid w:val="004D0894"/>
    <w:rsid w:val="004D1399"/>
    <w:rsid w:val="004D2A93"/>
    <w:rsid w:val="004D363D"/>
    <w:rsid w:val="004D4A18"/>
    <w:rsid w:val="004D5C3A"/>
    <w:rsid w:val="004D6C0E"/>
    <w:rsid w:val="004D7351"/>
    <w:rsid w:val="004D7CC4"/>
    <w:rsid w:val="004E0F04"/>
    <w:rsid w:val="004E1203"/>
    <w:rsid w:val="004E1237"/>
    <w:rsid w:val="004E138C"/>
    <w:rsid w:val="004E241A"/>
    <w:rsid w:val="004E3A3A"/>
    <w:rsid w:val="004E5B0D"/>
    <w:rsid w:val="004E7E16"/>
    <w:rsid w:val="004E7F00"/>
    <w:rsid w:val="004F09D6"/>
    <w:rsid w:val="004F10FB"/>
    <w:rsid w:val="004F2B94"/>
    <w:rsid w:val="004F3669"/>
    <w:rsid w:val="004F39EC"/>
    <w:rsid w:val="004F4F43"/>
    <w:rsid w:val="004F5D1B"/>
    <w:rsid w:val="004F5E46"/>
    <w:rsid w:val="004F616E"/>
    <w:rsid w:val="004F62CA"/>
    <w:rsid w:val="004F6DA3"/>
    <w:rsid w:val="004F716C"/>
    <w:rsid w:val="004F7BA6"/>
    <w:rsid w:val="005006F7"/>
    <w:rsid w:val="00500821"/>
    <w:rsid w:val="005024CE"/>
    <w:rsid w:val="0050273B"/>
    <w:rsid w:val="00503EC2"/>
    <w:rsid w:val="00504C37"/>
    <w:rsid w:val="0050599F"/>
    <w:rsid w:val="00506195"/>
    <w:rsid w:val="005065A9"/>
    <w:rsid w:val="00507127"/>
    <w:rsid w:val="00507418"/>
    <w:rsid w:val="00507784"/>
    <w:rsid w:val="005102CF"/>
    <w:rsid w:val="00510636"/>
    <w:rsid w:val="00510823"/>
    <w:rsid w:val="00510B32"/>
    <w:rsid w:val="00513CE3"/>
    <w:rsid w:val="00514884"/>
    <w:rsid w:val="00515543"/>
    <w:rsid w:val="00516363"/>
    <w:rsid w:val="00516568"/>
    <w:rsid w:val="0051720F"/>
    <w:rsid w:val="005247BC"/>
    <w:rsid w:val="0052504F"/>
    <w:rsid w:val="005254CC"/>
    <w:rsid w:val="005258C8"/>
    <w:rsid w:val="0052676D"/>
    <w:rsid w:val="005267EF"/>
    <w:rsid w:val="005304BD"/>
    <w:rsid w:val="00531096"/>
    <w:rsid w:val="00532E11"/>
    <w:rsid w:val="0053385D"/>
    <w:rsid w:val="0053433E"/>
    <w:rsid w:val="00535FDC"/>
    <w:rsid w:val="00540C76"/>
    <w:rsid w:val="00541E8D"/>
    <w:rsid w:val="005429D5"/>
    <w:rsid w:val="00542DC6"/>
    <w:rsid w:val="005453B1"/>
    <w:rsid w:val="005526F0"/>
    <w:rsid w:val="0055270A"/>
    <w:rsid w:val="00552976"/>
    <w:rsid w:val="00552EE2"/>
    <w:rsid w:val="005546D4"/>
    <w:rsid w:val="00554AF0"/>
    <w:rsid w:val="00554DF4"/>
    <w:rsid w:val="00555EF5"/>
    <w:rsid w:val="005565B8"/>
    <w:rsid w:val="00556CCD"/>
    <w:rsid w:val="005571E7"/>
    <w:rsid w:val="00562704"/>
    <w:rsid w:val="00562A67"/>
    <w:rsid w:val="00562CFF"/>
    <w:rsid w:val="0056399D"/>
    <w:rsid w:val="00563FB4"/>
    <w:rsid w:val="0057133D"/>
    <w:rsid w:val="00571776"/>
    <w:rsid w:val="0057206E"/>
    <w:rsid w:val="005724DC"/>
    <w:rsid w:val="00573679"/>
    <w:rsid w:val="00573BCE"/>
    <w:rsid w:val="00573CB0"/>
    <w:rsid w:val="005749F5"/>
    <w:rsid w:val="005753B1"/>
    <w:rsid w:val="005758A0"/>
    <w:rsid w:val="00576971"/>
    <w:rsid w:val="00576C86"/>
    <w:rsid w:val="00576D34"/>
    <w:rsid w:val="005803A9"/>
    <w:rsid w:val="00581225"/>
    <w:rsid w:val="00581242"/>
    <w:rsid w:val="00581685"/>
    <w:rsid w:val="00584FA1"/>
    <w:rsid w:val="005860FD"/>
    <w:rsid w:val="00586BBC"/>
    <w:rsid w:val="00586C0B"/>
    <w:rsid w:val="00587417"/>
    <w:rsid w:val="00587EF5"/>
    <w:rsid w:val="005901EF"/>
    <w:rsid w:val="00590206"/>
    <w:rsid w:val="005913D0"/>
    <w:rsid w:val="00591A12"/>
    <w:rsid w:val="005925BE"/>
    <w:rsid w:val="0059336F"/>
    <w:rsid w:val="005935C7"/>
    <w:rsid w:val="00593B03"/>
    <w:rsid w:val="00594D4D"/>
    <w:rsid w:val="005A035C"/>
    <w:rsid w:val="005A0EDC"/>
    <w:rsid w:val="005A2AA2"/>
    <w:rsid w:val="005A37BF"/>
    <w:rsid w:val="005A3982"/>
    <w:rsid w:val="005A4836"/>
    <w:rsid w:val="005A4DB5"/>
    <w:rsid w:val="005A4F5E"/>
    <w:rsid w:val="005A6FB8"/>
    <w:rsid w:val="005A73D6"/>
    <w:rsid w:val="005A7568"/>
    <w:rsid w:val="005B1896"/>
    <w:rsid w:val="005B1C32"/>
    <w:rsid w:val="005B1D40"/>
    <w:rsid w:val="005B233E"/>
    <w:rsid w:val="005B2AFA"/>
    <w:rsid w:val="005B38FA"/>
    <w:rsid w:val="005B7EFE"/>
    <w:rsid w:val="005C083C"/>
    <w:rsid w:val="005C37E9"/>
    <w:rsid w:val="005C4B29"/>
    <w:rsid w:val="005C5433"/>
    <w:rsid w:val="005C761B"/>
    <w:rsid w:val="005C765E"/>
    <w:rsid w:val="005D54CC"/>
    <w:rsid w:val="005D5C00"/>
    <w:rsid w:val="005D62CC"/>
    <w:rsid w:val="005D65D6"/>
    <w:rsid w:val="005D67CD"/>
    <w:rsid w:val="005E0489"/>
    <w:rsid w:val="005E23F5"/>
    <w:rsid w:val="005E3703"/>
    <w:rsid w:val="005E67C7"/>
    <w:rsid w:val="005E7801"/>
    <w:rsid w:val="005F05FC"/>
    <w:rsid w:val="005F35C8"/>
    <w:rsid w:val="005F3DF1"/>
    <w:rsid w:val="005F423B"/>
    <w:rsid w:val="005F5187"/>
    <w:rsid w:val="005F51E3"/>
    <w:rsid w:val="005F5AE2"/>
    <w:rsid w:val="005F5B35"/>
    <w:rsid w:val="005F7A9E"/>
    <w:rsid w:val="00602737"/>
    <w:rsid w:val="00602E85"/>
    <w:rsid w:val="0060302D"/>
    <w:rsid w:val="00603CE1"/>
    <w:rsid w:val="00603E4A"/>
    <w:rsid w:val="00603E91"/>
    <w:rsid w:val="0060468A"/>
    <w:rsid w:val="00606A24"/>
    <w:rsid w:val="006114CB"/>
    <w:rsid w:val="006116FF"/>
    <w:rsid w:val="00611BEF"/>
    <w:rsid w:val="0061245E"/>
    <w:rsid w:val="00613535"/>
    <w:rsid w:val="00613E19"/>
    <w:rsid w:val="00614328"/>
    <w:rsid w:val="006152B2"/>
    <w:rsid w:val="00616821"/>
    <w:rsid w:val="00620337"/>
    <w:rsid w:val="00621041"/>
    <w:rsid w:val="00621E32"/>
    <w:rsid w:val="0062252D"/>
    <w:rsid w:val="00622CE3"/>
    <w:rsid w:val="00624A8A"/>
    <w:rsid w:val="00625B7A"/>
    <w:rsid w:val="00627823"/>
    <w:rsid w:val="00630D65"/>
    <w:rsid w:val="0063135F"/>
    <w:rsid w:val="006327BF"/>
    <w:rsid w:val="00633D25"/>
    <w:rsid w:val="00634EFD"/>
    <w:rsid w:val="0063583D"/>
    <w:rsid w:val="00635EC7"/>
    <w:rsid w:val="00636123"/>
    <w:rsid w:val="00636C11"/>
    <w:rsid w:val="0064047A"/>
    <w:rsid w:val="00640772"/>
    <w:rsid w:val="00641233"/>
    <w:rsid w:val="00641C86"/>
    <w:rsid w:val="006451BB"/>
    <w:rsid w:val="00646B48"/>
    <w:rsid w:val="00646BB8"/>
    <w:rsid w:val="00646F36"/>
    <w:rsid w:val="00646FA9"/>
    <w:rsid w:val="00647D23"/>
    <w:rsid w:val="00647DB2"/>
    <w:rsid w:val="00650E8C"/>
    <w:rsid w:val="00651068"/>
    <w:rsid w:val="00651331"/>
    <w:rsid w:val="00652F25"/>
    <w:rsid w:val="00654722"/>
    <w:rsid w:val="00654C1F"/>
    <w:rsid w:val="00655923"/>
    <w:rsid w:val="00661078"/>
    <w:rsid w:val="006613A8"/>
    <w:rsid w:val="00661482"/>
    <w:rsid w:val="0066323E"/>
    <w:rsid w:val="006638AA"/>
    <w:rsid w:val="0066490C"/>
    <w:rsid w:val="00664A38"/>
    <w:rsid w:val="0066628C"/>
    <w:rsid w:val="00666648"/>
    <w:rsid w:val="006679F0"/>
    <w:rsid w:val="00670829"/>
    <w:rsid w:val="00671716"/>
    <w:rsid w:val="006717F8"/>
    <w:rsid w:val="006724F6"/>
    <w:rsid w:val="006758AF"/>
    <w:rsid w:val="006812BA"/>
    <w:rsid w:val="00681B29"/>
    <w:rsid w:val="00681D73"/>
    <w:rsid w:val="006823AB"/>
    <w:rsid w:val="00682C28"/>
    <w:rsid w:val="00683C9C"/>
    <w:rsid w:val="006859E9"/>
    <w:rsid w:val="00686512"/>
    <w:rsid w:val="006909BB"/>
    <w:rsid w:val="00692400"/>
    <w:rsid w:val="00692715"/>
    <w:rsid w:val="00693497"/>
    <w:rsid w:val="0069361F"/>
    <w:rsid w:val="00693A70"/>
    <w:rsid w:val="00693D6F"/>
    <w:rsid w:val="00694879"/>
    <w:rsid w:val="006955D4"/>
    <w:rsid w:val="00695684"/>
    <w:rsid w:val="00695AFF"/>
    <w:rsid w:val="006A021F"/>
    <w:rsid w:val="006A12F7"/>
    <w:rsid w:val="006A1ECA"/>
    <w:rsid w:val="006A250F"/>
    <w:rsid w:val="006A5C42"/>
    <w:rsid w:val="006A6934"/>
    <w:rsid w:val="006A6F0F"/>
    <w:rsid w:val="006A6F17"/>
    <w:rsid w:val="006A751B"/>
    <w:rsid w:val="006A777B"/>
    <w:rsid w:val="006B079B"/>
    <w:rsid w:val="006B1381"/>
    <w:rsid w:val="006B25C2"/>
    <w:rsid w:val="006B2F89"/>
    <w:rsid w:val="006B3789"/>
    <w:rsid w:val="006B58F9"/>
    <w:rsid w:val="006B6420"/>
    <w:rsid w:val="006B6F2B"/>
    <w:rsid w:val="006B778F"/>
    <w:rsid w:val="006C06B2"/>
    <w:rsid w:val="006C466E"/>
    <w:rsid w:val="006C54ED"/>
    <w:rsid w:val="006C60DD"/>
    <w:rsid w:val="006C67D2"/>
    <w:rsid w:val="006C7C93"/>
    <w:rsid w:val="006C7ED8"/>
    <w:rsid w:val="006D068A"/>
    <w:rsid w:val="006D0826"/>
    <w:rsid w:val="006D15E3"/>
    <w:rsid w:val="006D1F5A"/>
    <w:rsid w:val="006D2302"/>
    <w:rsid w:val="006D3945"/>
    <w:rsid w:val="006D43C5"/>
    <w:rsid w:val="006D4F55"/>
    <w:rsid w:val="006D5BAB"/>
    <w:rsid w:val="006D69A9"/>
    <w:rsid w:val="006D7EC5"/>
    <w:rsid w:val="006E141D"/>
    <w:rsid w:val="006E31C8"/>
    <w:rsid w:val="006E49EF"/>
    <w:rsid w:val="006E7F9F"/>
    <w:rsid w:val="006F0D41"/>
    <w:rsid w:val="006F1F2B"/>
    <w:rsid w:val="006F28A0"/>
    <w:rsid w:val="006F4761"/>
    <w:rsid w:val="006F596D"/>
    <w:rsid w:val="006F59CF"/>
    <w:rsid w:val="006F5E57"/>
    <w:rsid w:val="006F6313"/>
    <w:rsid w:val="006F6E9E"/>
    <w:rsid w:val="00700273"/>
    <w:rsid w:val="00703893"/>
    <w:rsid w:val="007063EA"/>
    <w:rsid w:val="00707532"/>
    <w:rsid w:val="00712B5C"/>
    <w:rsid w:val="00712F47"/>
    <w:rsid w:val="00712FFA"/>
    <w:rsid w:val="00713ED2"/>
    <w:rsid w:val="00714BF2"/>
    <w:rsid w:val="00714D58"/>
    <w:rsid w:val="007152F9"/>
    <w:rsid w:val="00717CAA"/>
    <w:rsid w:val="0072054F"/>
    <w:rsid w:val="007207D7"/>
    <w:rsid w:val="00720B20"/>
    <w:rsid w:val="00721DA6"/>
    <w:rsid w:val="00722C3E"/>
    <w:rsid w:val="00724EB4"/>
    <w:rsid w:val="00725C9D"/>
    <w:rsid w:val="007267C7"/>
    <w:rsid w:val="00731388"/>
    <w:rsid w:val="00731626"/>
    <w:rsid w:val="00731930"/>
    <w:rsid w:val="00732971"/>
    <w:rsid w:val="007337D2"/>
    <w:rsid w:val="00733AE7"/>
    <w:rsid w:val="00737248"/>
    <w:rsid w:val="007410DE"/>
    <w:rsid w:val="00743A31"/>
    <w:rsid w:val="007469F8"/>
    <w:rsid w:val="0074778F"/>
    <w:rsid w:val="00747BA5"/>
    <w:rsid w:val="00751694"/>
    <w:rsid w:val="00751BA8"/>
    <w:rsid w:val="00752598"/>
    <w:rsid w:val="00753A77"/>
    <w:rsid w:val="00755632"/>
    <w:rsid w:val="007561CB"/>
    <w:rsid w:val="00757598"/>
    <w:rsid w:val="007602D9"/>
    <w:rsid w:val="00760D8C"/>
    <w:rsid w:val="00760E26"/>
    <w:rsid w:val="0076117F"/>
    <w:rsid w:val="00761A3D"/>
    <w:rsid w:val="00762C31"/>
    <w:rsid w:val="007638A3"/>
    <w:rsid w:val="00763D56"/>
    <w:rsid w:val="0076423B"/>
    <w:rsid w:val="007647D4"/>
    <w:rsid w:val="007651FC"/>
    <w:rsid w:val="0076524C"/>
    <w:rsid w:val="0076643D"/>
    <w:rsid w:val="00770F60"/>
    <w:rsid w:val="007711D5"/>
    <w:rsid w:val="00771967"/>
    <w:rsid w:val="00771B44"/>
    <w:rsid w:val="00772BA5"/>
    <w:rsid w:val="0077352D"/>
    <w:rsid w:val="00773618"/>
    <w:rsid w:val="00773F84"/>
    <w:rsid w:val="00773FAC"/>
    <w:rsid w:val="007740AD"/>
    <w:rsid w:val="00775241"/>
    <w:rsid w:val="00775F0A"/>
    <w:rsid w:val="00776972"/>
    <w:rsid w:val="00781CD8"/>
    <w:rsid w:val="00782512"/>
    <w:rsid w:val="007826C9"/>
    <w:rsid w:val="00783013"/>
    <w:rsid w:val="00783556"/>
    <w:rsid w:val="00783C57"/>
    <w:rsid w:val="00785A67"/>
    <w:rsid w:val="0078645E"/>
    <w:rsid w:val="00786B05"/>
    <w:rsid w:val="007879FF"/>
    <w:rsid w:val="0079015B"/>
    <w:rsid w:val="00790768"/>
    <w:rsid w:val="007914BB"/>
    <w:rsid w:val="007923D9"/>
    <w:rsid w:val="007929C9"/>
    <w:rsid w:val="00796847"/>
    <w:rsid w:val="007A00DB"/>
    <w:rsid w:val="007A021A"/>
    <w:rsid w:val="007A0FE7"/>
    <w:rsid w:val="007A13DE"/>
    <w:rsid w:val="007A18D0"/>
    <w:rsid w:val="007A4449"/>
    <w:rsid w:val="007A7552"/>
    <w:rsid w:val="007A770D"/>
    <w:rsid w:val="007B04A7"/>
    <w:rsid w:val="007B28FE"/>
    <w:rsid w:val="007B385E"/>
    <w:rsid w:val="007B5210"/>
    <w:rsid w:val="007B5A76"/>
    <w:rsid w:val="007B6C12"/>
    <w:rsid w:val="007B6FC8"/>
    <w:rsid w:val="007B7FD7"/>
    <w:rsid w:val="007C0142"/>
    <w:rsid w:val="007C068D"/>
    <w:rsid w:val="007C0D75"/>
    <w:rsid w:val="007C1A48"/>
    <w:rsid w:val="007C3116"/>
    <w:rsid w:val="007C40C7"/>
    <w:rsid w:val="007C414C"/>
    <w:rsid w:val="007C4C31"/>
    <w:rsid w:val="007C6D96"/>
    <w:rsid w:val="007D0DA7"/>
    <w:rsid w:val="007D2E37"/>
    <w:rsid w:val="007D4653"/>
    <w:rsid w:val="007D5E21"/>
    <w:rsid w:val="007D65B9"/>
    <w:rsid w:val="007E073D"/>
    <w:rsid w:val="007E0E15"/>
    <w:rsid w:val="007E15A5"/>
    <w:rsid w:val="007E1D65"/>
    <w:rsid w:val="007E36FE"/>
    <w:rsid w:val="007E3E5F"/>
    <w:rsid w:val="007E4DBA"/>
    <w:rsid w:val="007E4DD9"/>
    <w:rsid w:val="007E5A74"/>
    <w:rsid w:val="007E5B41"/>
    <w:rsid w:val="007E7D01"/>
    <w:rsid w:val="007F016C"/>
    <w:rsid w:val="007F07AF"/>
    <w:rsid w:val="007F3483"/>
    <w:rsid w:val="007F38CC"/>
    <w:rsid w:val="007F56D7"/>
    <w:rsid w:val="007F5AB9"/>
    <w:rsid w:val="008001E4"/>
    <w:rsid w:val="00801CBE"/>
    <w:rsid w:val="00802015"/>
    <w:rsid w:val="00802BEF"/>
    <w:rsid w:val="0080450F"/>
    <w:rsid w:val="008102AE"/>
    <w:rsid w:val="00810301"/>
    <w:rsid w:val="00810EEB"/>
    <w:rsid w:val="00811BF3"/>
    <w:rsid w:val="0081282D"/>
    <w:rsid w:val="00815E68"/>
    <w:rsid w:val="00816AAB"/>
    <w:rsid w:val="0082009F"/>
    <w:rsid w:val="008244D2"/>
    <w:rsid w:val="0082468C"/>
    <w:rsid w:val="008269CD"/>
    <w:rsid w:val="00827329"/>
    <w:rsid w:val="00827CF1"/>
    <w:rsid w:val="00831584"/>
    <w:rsid w:val="00831D53"/>
    <w:rsid w:val="00831FFD"/>
    <w:rsid w:val="00832881"/>
    <w:rsid w:val="00832BB0"/>
    <w:rsid w:val="00832DF2"/>
    <w:rsid w:val="00833025"/>
    <w:rsid w:val="0083474B"/>
    <w:rsid w:val="00834E0D"/>
    <w:rsid w:val="0083518A"/>
    <w:rsid w:val="008352CD"/>
    <w:rsid w:val="0083595F"/>
    <w:rsid w:val="00835D51"/>
    <w:rsid w:val="00835E3D"/>
    <w:rsid w:val="00837423"/>
    <w:rsid w:val="008376B9"/>
    <w:rsid w:val="008379A5"/>
    <w:rsid w:val="00841618"/>
    <w:rsid w:val="008417C5"/>
    <w:rsid w:val="00841F0A"/>
    <w:rsid w:val="00841FE0"/>
    <w:rsid w:val="00842786"/>
    <w:rsid w:val="00844D65"/>
    <w:rsid w:val="0084512B"/>
    <w:rsid w:val="008459A1"/>
    <w:rsid w:val="0085012A"/>
    <w:rsid w:val="00850DC9"/>
    <w:rsid w:val="00853206"/>
    <w:rsid w:val="008534A8"/>
    <w:rsid w:val="00854E2A"/>
    <w:rsid w:val="0085526F"/>
    <w:rsid w:val="0085559F"/>
    <w:rsid w:val="008576BA"/>
    <w:rsid w:val="008626FB"/>
    <w:rsid w:val="008637FB"/>
    <w:rsid w:val="00864D1C"/>
    <w:rsid w:val="00866397"/>
    <w:rsid w:val="00867381"/>
    <w:rsid w:val="008678E8"/>
    <w:rsid w:val="008717F4"/>
    <w:rsid w:val="0087198E"/>
    <w:rsid w:val="00872459"/>
    <w:rsid w:val="00873008"/>
    <w:rsid w:val="00873ACE"/>
    <w:rsid w:val="00874B64"/>
    <w:rsid w:val="00874E44"/>
    <w:rsid w:val="00874ED6"/>
    <w:rsid w:val="0087574A"/>
    <w:rsid w:val="008757F1"/>
    <w:rsid w:val="00876D14"/>
    <w:rsid w:val="00876DE3"/>
    <w:rsid w:val="00876E11"/>
    <w:rsid w:val="008775DA"/>
    <w:rsid w:val="0088001C"/>
    <w:rsid w:val="008811C2"/>
    <w:rsid w:val="00882509"/>
    <w:rsid w:val="0088275E"/>
    <w:rsid w:val="00883BAF"/>
    <w:rsid w:val="00885823"/>
    <w:rsid w:val="00885865"/>
    <w:rsid w:val="008866CE"/>
    <w:rsid w:val="00886C31"/>
    <w:rsid w:val="008872F8"/>
    <w:rsid w:val="0089297D"/>
    <w:rsid w:val="00892DB6"/>
    <w:rsid w:val="00892EE7"/>
    <w:rsid w:val="00892FC9"/>
    <w:rsid w:val="008941C7"/>
    <w:rsid w:val="00894203"/>
    <w:rsid w:val="00894D1D"/>
    <w:rsid w:val="00894D7E"/>
    <w:rsid w:val="00894FC9"/>
    <w:rsid w:val="00896040"/>
    <w:rsid w:val="008961FB"/>
    <w:rsid w:val="00897093"/>
    <w:rsid w:val="008974DE"/>
    <w:rsid w:val="008A1132"/>
    <w:rsid w:val="008A16D3"/>
    <w:rsid w:val="008A20D0"/>
    <w:rsid w:val="008A2367"/>
    <w:rsid w:val="008A299A"/>
    <w:rsid w:val="008A29AC"/>
    <w:rsid w:val="008A3F7C"/>
    <w:rsid w:val="008A408A"/>
    <w:rsid w:val="008A4DB4"/>
    <w:rsid w:val="008A5C43"/>
    <w:rsid w:val="008A5E0B"/>
    <w:rsid w:val="008A5E21"/>
    <w:rsid w:val="008B026A"/>
    <w:rsid w:val="008B0778"/>
    <w:rsid w:val="008B097E"/>
    <w:rsid w:val="008B165A"/>
    <w:rsid w:val="008B1A3E"/>
    <w:rsid w:val="008B281C"/>
    <w:rsid w:val="008B36D4"/>
    <w:rsid w:val="008B5B71"/>
    <w:rsid w:val="008B6499"/>
    <w:rsid w:val="008B66D5"/>
    <w:rsid w:val="008B7D4A"/>
    <w:rsid w:val="008B7FB9"/>
    <w:rsid w:val="008C1930"/>
    <w:rsid w:val="008C27B4"/>
    <w:rsid w:val="008C3C88"/>
    <w:rsid w:val="008D0D5C"/>
    <w:rsid w:val="008D2626"/>
    <w:rsid w:val="008D2947"/>
    <w:rsid w:val="008D2D3B"/>
    <w:rsid w:val="008D39E6"/>
    <w:rsid w:val="008D4FA2"/>
    <w:rsid w:val="008D5500"/>
    <w:rsid w:val="008D63FB"/>
    <w:rsid w:val="008D6B3E"/>
    <w:rsid w:val="008D6D27"/>
    <w:rsid w:val="008D740B"/>
    <w:rsid w:val="008D796A"/>
    <w:rsid w:val="008E17AC"/>
    <w:rsid w:val="008E26D2"/>
    <w:rsid w:val="008E2EC0"/>
    <w:rsid w:val="008E71D0"/>
    <w:rsid w:val="008F2E21"/>
    <w:rsid w:val="008F4297"/>
    <w:rsid w:val="008F463E"/>
    <w:rsid w:val="008F5966"/>
    <w:rsid w:val="008F5E9F"/>
    <w:rsid w:val="008F6326"/>
    <w:rsid w:val="00900E00"/>
    <w:rsid w:val="00901181"/>
    <w:rsid w:val="0090170F"/>
    <w:rsid w:val="00901870"/>
    <w:rsid w:val="009024E6"/>
    <w:rsid w:val="009029C8"/>
    <w:rsid w:val="00903974"/>
    <w:rsid w:val="009058E1"/>
    <w:rsid w:val="00906B76"/>
    <w:rsid w:val="00906C78"/>
    <w:rsid w:val="00906C7E"/>
    <w:rsid w:val="009077F8"/>
    <w:rsid w:val="00913389"/>
    <w:rsid w:val="009139C4"/>
    <w:rsid w:val="00913B2C"/>
    <w:rsid w:val="00914829"/>
    <w:rsid w:val="00914B92"/>
    <w:rsid w:val="00917159"/>
    <w:rsid w:val="00917E5C"/>
    <w:rsid w:val="00920142"/>
    <w:rsid w:val="009208AF"/>
    <w:rsid w:val="00920BBF"/>
    <w:rsid w:val="0092181E"/>
    <w:rsid w:val="0092388D"/>
    <w:rsid w:val="00924019"/>
    <w:rsid w:val="009246CC"/>
    <w:rsid w:val="00924D9D"/>
    <w:rsid w:val="0092664E"/>
    <w:rsid w:val="00926B0F"/>
    <w:rsid w:val="00926BE2"/>
    <w:rsid w:val="00926F51"/>
    <w:rsid w:val="009272FA"/>
    <w:rsid w:val="0093055A"/>
    <w:rsid w:val="00932544"/>
    <w:rsid w:val="009340D8"/>
    <w:rsid w:val="0093425D"/>
    <w:rsid w:val="009347CE"/>
    <w:rsid w:val="009349E2"/>
    <w:rsid w:val="0093610F"/>
    <w:rsid w:val="009373CC"/>
    <w:rsid w:val="009405D6"/>
    <w:rsid w:val="00945EF6"/>
    <w:rsid w:val="0094743E"/>
    <w:rsid w:val="00947F28"/>
    <w:rsid w:val="009513A2"/>
    <w:rsid w:val="00951997"/>
    <w:rsid w:val="009520AE"/>
    <w:rsid w:val="009534AE"/>
    <w:rsid w:val="00954FAA"/>
    <w:rsid w:val="00962B45"/>
    <w:rsid w:val="009631C6"/>
    <w:rsid w:val="00963ABC"/>
    <w:rsid w:val="009641CD"/>
    <w:rsid w:val="009657A4"/>
    <w:rsid w:val="00965F78"/>
    <w:rsid w:val="00971F1E"/>
    <w:rsid w:val="00973021"/>
    <w:rsid w:val="009733B6"/>
    <w:rsid w:val="00976754"/>
    <w:rsid w:val="0098134A"/>
    <w:rsid w:val="00982F15"/>
    <w:rsid w:val="009863A8"/>
    <w:rsid w:val="0098659B"/>
    <w:rsid w:val="0098793C"/>
    <w:rsid w:val="00991298"/>
    <w:rsid w:val="009928BF"/>
    <w:rsid w:val="00995D09"/>
    <w:rsid w:val="0099647E"/>
    <w:rsid w:val="00996DD2"/>
    <w:rsid w:val="00997371"/>
    <w:rsid w:val="009A03AA"/>
    <w:rsid w:val="009A0CD4"/>
    <w:rsid w:val="009A128C"/>
    <w:rsid w:val="009A1671"/>
    <w:rsid w:val="009A25BA"/>
    <w:rsid w:val="009A2B1A"/>
    <w:rsid w:val="009A37A6"/>
    <w:rsid w:val="009A3BAD"/>
    <w:rsid w:val="009A3DC3"/>
    <w:rsid w:val="009A426D"/>
    <w:rsid w:val="009A6128"/>
    <w:rsid w:val="009A6AC8"/>
    <w:rsid w:val="009A75C4"/>
    <w:rsid w:val="009B06C2"/>
    <w:rsid w:val="009B10EF"/>
    <w:rsid w:val="009B15F6"/>
    <w:rsid w:val="009B2425"/>
    <w:rsid w:val="009B5EEA"/>
    <w:rsid w:val="009B6053"/>
    <w:rsid w:val="009B6CFF"/>
    <w:rsid w:val="009B76E1"/>
    <w:rsid w:val="009C2592"/>
    <w:rsid w:val="009C289C"/>
    <w:rsid w:val="009C292D"/>
    <w:rsid w:val="009C336B"/>
    <w:rsid w:val="009C3DA0"/>
    <w:rsid w:val="009C41FF"/>
    <w:rsid w:val="009C4280"/>
    <w:rsid w:val="009C4C1D"/>
    <w:rsid w:val="009C515B"/>
    <w:rsid w:val="009C7BD1"/>
    <w:rsid w:val="009D02E2"/>
    <w:rsid w:val="009D060F"/>
    <w:rsid w:val="009D1E5F"/>
    <w:rsid w:val="009D358A"/>
    <w:rsid w:val="009D453C"/>
    <w:rsid w:val="009E1574"/>
    <w:rsid w:val="009E2098"/>
    <w:rsid w:val="009E2411"/>
    <w:rsid w:val="009E29EB"/>
    <w:rsid w:val="009E383F"/>
    <w:rsid w:val="009E5B32"/>
    <w:rsid w:val="009E5E88"/>
    <w:rsid w:val="009E6324"/>
    <w:rsid w:val="009E7EE6"/>
    <w:rsid w:val="009E7F58"/>
    <w:rsid w:val="009F1968"/>
    <w:rsid w:val="009F1D7C"/>
    <w:rsid w:val="009F1EC1"/>
    <w:rsid w:val="009F535F"/>
    <w:rsid w:val="009F538B"/>
    <w:rsid w:val="009F5B6C"/>
    <w:rsid w:val="009F6312"/>
    <w:rsid w:val="00A01346"/>
    <w:rsid w:val="00A01DDF"/>
    <w:rsid w:val="00A032E8"/>
    <w:rsid w:val="00A052AE"/>
    <w:rsid w:val="00A070D8"/>
    <w:rsid w:val="00A1050E"/>
    <w:rsid w:val="00A13D67"/>
    <w:rsid w:val="00A163C8"/>
    <w:rsid w:val="00A1762A"/>
    <w:rsid w:val="00A17AB9"/>
    <w:rsid w:val="00A17C3B"/>
    <w:rsid w:val="00A20DCE"/>
    <w:rsid w:val="00A2255C"/>
    <w:rsid w:val="00A244C1"/>
    <w:rsid w:val="00A254C5"/>
    <w:rsid w:val="00A25BFF"/>
    <w:rsid w:val="00A35756"/>
    <w:rsid w:val="00A3761D"/>
    <w:rsid w:val="00A4157E"/>
    <w:rsid w:val="00A416A6"/>
    <w:rsid w:val="00A419DA"/>
    <w:rsid w:val="00A41B65"/>
    <w:rsid w:val="00A4383F"/>
    <w:rsid w:val="00A43956"/>
    <w:rsid w:val="00A439FC"/>
    <w:rsid w:val="00A44917"/>
    <w:rsid w:val="00A44B16"/>
    <w:rsid w:val="00A44EC2"/>
    <w:rsid w:val="00A45ACE"/>
    <w:rsid w:val="00A50097"/>
    <w:rsid w:val="00A50CEF"/>
    <w:rsid w:val="00A50FCF"/>
    <w:rsid w:val="00A518FE"/>
    <w:rsid w:val="00A51959"/>
    <w:rsid w:val="00A52A6D"/>
    <w:rsid w:val="00A52B29"/>
    <w:rsid w:val="00A52DFA"/>
    <w:rsid w:val="00A534CD"/>
    <w:rsid w:val="00A53752"/>
    <w:rsid w:val="00A54F4C"/>
    <w:rsid w:val="00A552B7"/>
    <w:rsid w:val="00A5564A"/>
    <w:rsid w:val="00A5607E"/>
    <w:rsid w:val="00A56303"/>
    <w:rsid w:val="00A56692"/>
    <w:rsid w:val="00A62465"/>
    <w:rsid w:val="00A63461"/>
    <w:rsid w:val="00A63EF5"/>
    <w:rsid w:val="00A64AC3"/>
    <w:rsid w:val="00A651C2"/>
    <w:rsid w:val="00A6651F"/>
    <w:rsid w:val="00A6697B"/>
    <w:rsid w:val="00A70C5F"/>
    <w:rsid w:val="00A72058"/>
    <w:rsid w:val="00A72E73"/>
    <w:rsid w:val="00A7440C"/>
    <w:rsid w:val="00A748A3"/>
    <w:rsid w:val="00A7601D"/>
    <w:rsid w:val="00A776D6"/>
    <w:rsid w:val="00A7799B"/>
    <w:rsid w:val="00A822AD"/>
    <w:rsid w:val="00A83796"/>
    <w:rsid w:val="00A83C8E"/>
    <w:rsid w:val="00A84150"/>
    <w:rsid w:val="00A850BF"/>
    <w:rsid w:val="00A864B8"/>
    <w:rsid w:val="00A8683B"/>
    <w:rsid w:val="00A869A0"/>
    <w:rsid w:val="00A906CA"/>
    <w:rsid w:val="00A90EFD"/>
    <w:rsid w:val="00A91C8F"/>
    <w:rsid w:val="00A93240"/>
    <w:rsid w:val="00A94122"/>
    <w:rsid w:val="00A94919"/>
    <w:rsid w:val="00A976EC"/>
    <w:rsid w:val="00AA0105"/>
    <w:rsid w:val="00AA1631"/>
    <w:rsid w:val="00AA265F"/>
    <w:rsid w:val="00AA27F8"/>
    <w:rsid w:val="00AA2936"/>
    <w:rsid w:val="00AA6F22"/>
    <w:rsid w:val="00AB078B"/>
    <w:rsid w:val="00AB13B7"/>
    <w:rsid w:val="00AB1459"/>
    <w:rsid w:val="00AB18A5"/>
    <w:rsid w:val="00AB3C25"/>
    <w:rsid w:val="00AB72E8"/>
    <w:rsid w:val="00AC0112"/>
    <w:rsid w:val="00AC2A06"/>
    <w:rsid w:val="00AC2C04"/>
    <w:rsid w:val="00AC3D6C"/>
    <w:rsid w:val="00AC5A5D"/>
    <w:rsid w:val="00AD044D"/>
    <w:rsid w:val="00AD6953"/>
    <w:rsid w:val="00AE2854"/>
    <w:rsid w:val="00AE32BC"/>
    <w:rsid w:val="00AE419F"/>
    <w:rsid w:val="00AE4D46"/>
    <w:rsid w:val="00AE7E80"/>
    <w:rsid w:val="00AF1967"/>
    <w:rsid w:val="00AF24B3"/>
    <w:rsid w:val="00AF280D"/>
    <w:rsid w:val="00AF2B5E"/>
    <w:rsid w:val="00AF2ED3"/>
    <w:rsid w:val="00AF47A7"/>
    <w:rsid w:val="00AF4F11"/>
    <w:rsid w:val="00AF5AEF"/>
    <w:rsid w:val="00B003B7"/>
    <w:rsid w:val="00B0076C"/>
    <w:rsid w:val="00B00C20"/>
    <w:rsid w:val="00B010B8"/>
    <w:rsid w:val="00B02545"/>
    <w:rsid w:val="00B02761"/>
    <w:rsid w:val="00B04458"/>
    <w:rsid w:val="00B046CB"/>
    <w:rsid w:val="00B05C7E"/>
    <w:rsid w:val="00B061A0"/>
    <w:rsid w:val="00B06F1E"/>
    <w:rsid w:val="00B07399"/>
    <w:rsid w:val="00B077BD"/>
    <w:rsid w:val="00B10A0C"/>
    <w:rsid w:val="00B118DA"/>
    <w:rsid w:val="00B12AE4"/>
    <w:rsid w:val="00B136BC"/>
    <w:rsid w:val="00B1569D"/>
    <w:rsid w:val="00B17527"/>
    <w:rsid w:val="00B17FA2"/>
    <w:rsid w:val="00B202E6"/>
    <w:rsid w:val="00B21103"/>
    <w:rsid w:val="00B22263"/>
    <w:rsid w:val="00B22E1E"/>
    <w:rsid w:val="00B2472F"/>
    <w:rsid w:val="00B2504A"/>
    <w:rsid w:val="00B25300"/>
    <w:rsid w:val="00B25427"/>
    <w:rsid w:val="00B2570C"/>
    <w:rsid w:val="00B268EE"/>
    <w:rsid w:val="00B31153"/>
    <w:rsid w:val="00B32D48"/>
    <w:rsid w:val="00B3371A"/>
    <w:rsid w:val="00B36590"/>
    <w:rsid w:val="00B36C99"/>
    <w:rsid w:val="00B37589"/>
    <w:rsid w:val="00B40443"/>
    <w:rsid w:val="00B413CC"/>
    <w:rsid w:val="00B42C90"/>
    <w:rsid w:val="00B42EE1"/>
    <w:rsid w:val="00B4374C"/>
    <w:rsid w:val="00B451B1"/>
    <w:rsid w:val="00B461CA"/>
    <w:rsid w:val="00B46303"/>
    <w:rsid w:val="00B46F03"/>
    <w:rsid w:val="00B4728C"/>
    <w:rsid w:val="00B478D1"/>
    <w:rsid w:val="00B55821"/>
    <w:rsid w:val="00B570D2"/>
    <w:rsid w:val="00B6001F"/>
    <w:rsid w:val="00B603BD"/>
    <w:rsid w:val="00B6102C"/>
    <w:rsid w:val="00B614A1"/>
    <w:rsid w:val="00B6186E"/>
    <w:rsid w:val="00B61B88"/>
    <w:rsid w:val="00B62106"/>
    <w:rsid w:val="00B64944"/>
    <w:rsid w:val="00B64C5A"/>
    <w:rsid w:val="00B70710"/>
    <w:rsid w:val="00B7116B"/>
    <w:rsid w:val="00B7533B"/>
    <w:rsid w:val="00B76043"/>
    <w:rsid w:val="00B768AD"/>
    <w:rsid w:val="00B77652"/>
    <w:rsid w:val="00B779DD"/>
    <w:rsid w:val="00B80D83"/>
    <w:rsid w:val="00B8109B"/>
    <w:rsid w:val="00B81381"/>
    <w:rsid w:val="00B82334"/>
    <w:rsid w:val="00B82924"/>
    <w:rsid w:val="00B86700"/>
    <w:rsid w:val="00B87212"/>
    <w:rsid w:val="00B876C6"/>
    <w:rsid w:val="00B87DC2"/>
    <w:rsid w:val="00B902A6"/>
    <w:rsid w:val="00B903A8"/>
    <w:rsid w:val="00B90B7A"/>
    <w:rsid w:val="00B9191D"/>
    <w:rsid w:val="00B94D34"/>
    <w:rsid w:val="00B94DF8"/>
    <w:rsid w:val="00B951A1"/>
    <w:rsid w:val="00B97F2C"/>
    <w:rsid w:val="00BA08F2"/>
    <w:rsid w:val="00BA13E7"/>
    <w:rsid w:val="00BA3A64"/>
    <w:rsid w:val="00BA4409"/>
    <w:rsid w:val="00BA55FD"/>
    <w:rsid w:val="00BA6815"/>
    <w:rsid w:val="00BA722F"/>
    <w:rsid w:val="00BB2868"/>
    <w:rsid w:val="00BB39F6"/>
    <w:rsid w:val="00BB3DC4"/>
    <w:rsid w:val="00BB4572"/>
    <w:rsid w:val="00BB4D32"/>
    <w:rsid w:val="00BC03EE"/>
    <w:rsid w:val="00BC0D0B"/>
    <w:rsid w:val="00BC242F"/>
    <w:rsid w:val="00BC3D52"/>
    <w:rsid w:val="00BC4558"/>
    <w:rsid w:val="00BC5729"/>
    <w:rsid w:val="00BC63A1"/>
    <w:rsid w:val="00BC658E"/>
    <w:rsid w:val="00BC6EB8"/>
    <w:rsid w:val="00BC739A"/>
    <w:rsid w:val="00BC7530"/>
    <w:rsid w:val="00BD2116"/>
    <w:rsid w:val="00BD2189"/>
    <w:rsid w:val="00BD39DB"/>
    <w:rsid w:val="00BD39EB"/>
    <w:rsid w:val="00BD3E15"/>
    <w:rsid w:val="00BD4FE8"/>
    <w:rsid w:val="00BD5A17"/>
    <w:rsid w:val="00BD7E37"/>
    <w:rsid w:val="00BE0A50"/>
    <w:rsid w:val="00BE1AA7"/>
    <w:rsid w:val="00BE1C91"/>
    <w:rsid w:val="00BE20B8"/>
    <w:rsid w:val="00BE46E4"/>
    <w:rsid w:val="00BE5208"/>
    <w:rsid w:val="00BE58D3"/>
    <w:rsid w:val="00BE6B4E"/>
    <w:rsid w:val="00BF1402"/>
    <w:rsid w:val="00BF2349"/>
    <w:rsid w:val="00BF2D94"/>
    <w:rsid w:val="00BF5047"/>
    <w:rsid w:val="00BF54B7"/>
    <w:rsid w:val="00BF6954"/>
    <w:rsid w:val="00BF6BF5"/>
    <w:rsid w:val="00BF6DED"/>
    <w:rsid w:val="00BF6E2A"/>
    <w:rsid w:val="00BF6E86"/>
    <w:rsid w:val="00BF727F"/>
    <w:rsid w:val="00BF7586"/>
    <w:rsid w:val="00C01142"/>
    <w:rsid w:val="00C0183A"/>
    <w:rsid w:val="00C01F7A"/>
    <w:rsid w:val="00C02904"/>
    <w:rsid w:val="00C02D01"/>
    <w:rsid w:val="00C0466B"/>
    <w:rsid w:val="00C06473"/>
    <w:rsid w:val="00C06BD6"/>
    <w:rsid w:val="00C10DDF"/>
    <w:rsid w:val="00C1183E"/>
    <w:rsid w:val="00C11DB6"/>
    <w:rsid w:val="00C12153"/>
    <w:rsid w:val="00C12932"/>
    <w:rsid w:val="00C1331C"/>
    <w:rsid w:val="00C14370"/>
    <w:rsid w:val="00C16990"/>
    <w:rsid w:val="00C16CFC"/>
    <w:rsid w:val="00C21959"/>
    <w:rsid w:val="00C219A0"/>
    <w:rsid w:val="00C2243C"/>
    <w:rsid w:val="00C22A8E"/>
    <w:rsid w:val="00C2350F"/>
    <w:rsid w:val="00C236EE"/>
    <w:rsid w:val="00C24F98"/>
    <w:rsid w:val="00C25213"/>
    <w:rsid w:val="00C259CD"/>
    <w:rsid w:val="00C26EB9"/>
    <w:rsid w:val="00C27445"/>
    <w:rsid w:val="00C27955"/>
    <w:rsid w:val="00C30151"/>
    <w:rsid w:val="00C30CED"/>
    <w:rsid w:val="00C30F96"/>
    <w:rsid w:val="00C316A6"/>
    <w:rsid w:val="00C34A06"/>
    <w:rsid w:val="00C3593E"/>
    <w:rsid w:val="00C35C78"/>
    <w:rsid w:val="00C37AEB"/>
    <w:rsid w:val="00C40288"/>
    <w:rsid w:val="00C410C8"/>
    <w:rsid w:val="00C41243"/>
    <w:rsid w:val="00C43205"/>
    <w:rsid w:val="00C43B26"/>
    <w:rsid w:val="00C43E06"/>
    <w:rsid w:val="00C440A3"/>
    <w:rsid w:val="00C444EF"/>
    <w:rsid w:val="00C45481"/>
    <w:rsid w:val="00C45938"/>
    <w:rsid w:val="00C50ACA"/>
    <w:rsid w:val="00C5221C"/>
    <w:rsid w:val="00C52691"/>
    <w:rsid w:val="00C56853"/>
    <w:rsid w:val="00C57AB0"/>
    <w:rsid w:val="00C601EA"/>
    <w:rsid w:val="00C60354"/>
    <w:rsid w:val="00C61451"/>
    <w:rsid w:val="00C6184F"/>
    <w:rsid w:val="00C61C06"/>
    <w:rsid w:val="00C62BF8"/>
    <w:rsid w:val="00C6366D"/>
    <w:rsid w:val="00C67609"/>
    <w:rsid w:val="00C72056"/>
    <w:rsid w:val="00C72674"/>
    <w:rsid w:val="00C72AFF"/>
    <w:rsid w:val="00C7392A"/>
    <w:rsid w:val="00C74888"/>
    <w:rsid w:val="00C7498C"/>
    <w:rsid w:val="00C76D25"/>
    <w:rsid w:val="00C77CD2"/>
    <w:rsid w:val="00C77EE8"/>
    <w:rsid w:val="00C80411"/>
    <w:rsid w:val="00C80902"/>
    <w:rsid w:val="00C819A4"/>
    <w:rsid w:val="00C81C4E"/>
    <w:rsid w:val="00C81E7E"/>
    <w:rsid w:val="00C82B9A"/>
    <w:rsid w:val="00C845C3"/>
    <w:rsid w:val="00C91109"/>
    <w:rsid w:val="00C9115A"/>
    <w:rsid w:val="00C91336"/>
    <w:rsid w:val="00C91903"/>
    <w:rsid w:val="00C934CC"/>
    <w:rsid w:val="00C9467D"/>
    <w:rsid w:val="00C95F0B"/>
    <w:rsid w:val="00C965C2"/>
    <w:rsid w:val="00C96707"/>
    <w:rsid w:val="00C97402"/>
    <w:rsid w:val="00C9781B"/>
    <w:rsid w:val="00CA080A"/>
    <w:rsid w:val="00CA1371"/>
    <w:rsid w:val="00CA285F"/>
    <w:rsid w:val="00CA35BE"/>
    <w:rsid w:val="00CA4421"/>
    <w:rsid w:val="00CA55C1"/>
    <w:rsid w:val="00CA7D35"/>
    <w:rsid w:val="00CB13EF"/>
    <w:rsid w:val="00CB1D9E"/>
    <w:rsid w:val="00CB384D"/>
    <w:rsid w:val="00CB396F"/>
    <w:rsid w:val="00CB59BB"/>
    <w:rsid w:val="00CB59F6"/>
    <w:rsid w:val="00CB7926"/>
    <w:rsid w:val="00CB7E00"/>
    <w:rsid w:val="00CC0570"/>
    <w:rsid w:val="00CC0AD9"/>
    <w:rsid w:val="00CC1954"/>
    <w:rsid w:val="00CC2FCA"/>
    <w:rsid w:val="00CC56D3"/>
    <w:rsid w:val="00CC5A7C"/>
    <w:rsid w:val="00CC5BA7"/>
    <w:rsid w:val="00CC6A1E"/>
    <w:rsid w:val="00CC71F5"/>
    <w:rsid w:val="00CC7401"/>
    <w:rsid w:val="00CC75EB"/>
    <w:rsid w:val="00CD053A"/>
    <w:rsid w:val="00CD0A6B"/>
    <w:rsid w:val="00CD3E7B"/>
    <w:rsid w:val="00CD4079"/>
    <w:rsid w:val="00CD431A"/>
    <w:rsid w:val="00CD68AE"/>
    <w:rsid w:val="00CD68BA"/>
    <w:rsid w:val="00CD6C10"/>
    <w:rsid w:val="00CD71F3"/>
    <w:rsid w:val="00CD730F"/>
    <w:rsid w:val="00CD76FF"/>
    <w:rsid w:val="00CE0443"/>
    <w:rsid w:val="00CE212E"/>
    <w:rsid w:val="00CE217C"/>
    <w:rsid w:val="00CE2754"/>
    <w:rsid w:val="00CE2D04"/>
    <w:rsid w:val="00CE3703"/>
    <w:rsid w:val="00CE42FB"/>
    <w:rsid w:val="00CE454A"/>
    <w:rsid w:val="00CE4B1A"/>
    <w:rsid w:val="00CE6CEB"/>
    <w:rsid w:val="00CE7148"/>
    <w:rsid w:val="00CF052A"/>
    <w:rsid w:val="00CF0BF4"/>
    <w:rsid w:val="00CF2655"/>
    <w:rsid w:val="00CF2A4A"/>
    <w:rsid w:val="00CF4518"/>
    <w:rsid w:val="00CF67A0"/>
    <w:rsid w:val="00CF77FC"/>
    <w:rsid w:val="00D0075C"/>
    <w:rsid w:val="00D00A6E"/>
    <w:rsid w:val="00D01882"/>
    <w:rsid w:val="00D020A4"/>
    <w:rsid w:val="00D02F98"/>
    <w:rsid w:val="00D03ABA"/>
    <w:rsid w:val="00D040AD"/>
    <w:rsid w:val="00D04315"/>
    <w:rsid w:val="00D068B4"/>
    <w:rsid w:val="00D06F9B"/>
    <w:rsid w:val="00D073D7"/>
    <w:rsid w:val="00D076C6"/>
    <w:rsid w:val="00D077E6"/>
    <w:rsid w:val="00D10DCE"/>
    <w:rsid w:val="00D12FA1"/>
    <w:rsid w:val="00D14E39"/>
    <w:rsid w:val="00D15AF5"/>
    <w:rsid w:val="00D16295"/>
    <w:rsid w:val="00D17F18"/>
    <w:rsid w:val="00D20884"/>
    <w:rsid w:val="00D21314"/>
    <w:rsid w:val="00D231AD"/>
    <w:rsid w:val="00D236DF"/>
    <w:rsid w:val="00D2406B"/>
    <w:rsid w:val="00D25689"/>
    <w:rsid w:val="00D26CD9"/>
    <w:rsid w:val="00D26E84"/>
    <w:rsid w:val="00D272A1"/>
    <w:rsid w:val="00D27F23"/>
    <w:rsid w:val="00D306D8"/>
    <w:rsid w:val="00D31057"/>
    <w:rsid w:val="00D31148"/>
    <w:rsid w:val="00D31959"/>
    <w:rsid w:val="00D3217F"/>
    <w:rsid w:val="00D321C6"/>
    <w:rsid w:val="00D338E7"/>
    <w:rsid w:val="00D34284"/>
    <w:rsid w:val="00D34A0B"/>
    <w:rsid w:val="00D34D2C"/>
    <w:rsid w:val="00D3675A"/>
    <w:rsid w:val="00D36C3B"/>
    <w:rsid w:val="00D401F2"/>
    <w:rsid w:val="00D410BB"/>
    <w:rsid w:val="00D41621"/>
    <w:rsid w:val="00D4165C"/>
    <w:rsid w:val="00D435FF"/>
    <w:rsid w:val="00D43FF5"/>
    <w:rsid w:val="00D44155"/>
    <w:rsid w:val="00D45541"/>
    <w:rsid w:val="00D46C20"/>
    <w:rsid w:val="00D470A2"/>
    <w:rsid w:val="00D47AE9"/>
    <w:rsid w:val="00D47D97"/>
    <w:rsid w:val="00D47DDD"/>
    <w:rsid w:val="00D50406"/>
    <w:rsid w:val="00D51C2D"/>
    <w:rsid w:val="00D521C3"/>
    <w:rsid w:val="00D53DA4"/>
    <w:rsid w:val="00D53F2C"/>
    <w:rsid w:val="00D54820"/>
    <w:rsid w:val="00D54A06"/>
    <w:rsid w:val="00D55508"/>
    <w:rsid w:val="00D555AA"/>
    <w:rsid w:val="00D57C0D"/>
    <w:rsid w:val="00D606EF"/>
    <w:rsid w:val="00D61953"/>
    <w:rsid w:val="00D61ED2"/>
    <w:rsid w:val="00D62948"/>
    <w:rsid w:val="00D630A9"/>
    <w:rsid w:val="00D6416D"/>
    <w:rsid w:val="00D641C9"/>
    <w:rsid w:val="00D644F7"/>
    <w:rsid w:val="00D66796"/>
    <w:rsid w:val="00D668F7"/>
    <w:rsid w:val="00D704DC"/>
    <w:rsid w:val="00D72D55"/>
    <w:rsid w:val="00D73A34"/>
    <w:rsid w:val="00D73A89"/>
    <w:rsid w:val="00D74C95"/>
    <w:rsid w:val="00D74D28"/>
    <w:rsid w:val="00D75181"/>
    <w:rsid w:val="00D753E2"/>
    <w:rsid w:val="00D76344"/>
    <w:rsid w:val="00D7686E"/>
    <w:rsid w:val="00D77537"/>
    <w:rsid w:val="00D77C10"/>
    <w:rsid w:val="00D81B20"/>
    <w:rsid w:val="00D830CD"/>
    <w:rsid w:val="00D83135"/>
    <w:rsid w:val="00D83AD0"/>
    <w:rsid w:val="00D84411"/>
    <w:rsid w:val="00D84897"/>
    <w:rsid w:val="00D85D87"/>
    <w:rsid w:val="00D86B7C"/>
    <w:rsid w:val="00D87BB1"/>
    <w:rsid w:val="00D917B4"/>
    <w:rsid w:val="00D92804"/>
    <w:rsid w:val="00D92A66"/>
    <w:rsid w:val="00D9375A"/>
    <w:rsid w:val="00D93A2A"/>
    <w:rsid w:val="00D948CC"/>
    <w:rsid w:val="00D94CC3"/>
    <w:rsid w:val="00D9533F"/>
    <w:rsid w:val="00D97C90"/>
    <w:rsid w:val="00D97CBD"/>
    <w:rsid w:val="00DA0D27"/>
    <w:rsid w:val="00DA1481"/>
    <w:rsid w:val="00DA2C24"/>
    <w:rsid w:val="00DA5E7F"/>
    <w:rsid w:val="00DA5EF3"/>
    <w:rsid w:val="00DA642F"/>
    <w:rsid w:val="00DB1F2A"/>
    <w:rsid w:val="00DB26AB"/>
    <w:rsid w:val="00DB28C3"/>
    <w:rsid w:val="00DB35FB"/>
    <w:rsid w:val="00DB3B73"/>
    <w:rsid w:val="00DB58E7"/>
    <w:rsid w:val="00DB64A9"/>
    <w:rsid w:val="00DB795F"/>
    <w:rsid w:val="00DC0916"/>
    <w:rsid w:val="00DC0A52"/>
    <w:rsid w:val="00DC0BC4"/>
    <w:rsid w:val="00DC1807"/>
    <w:rsid w:val="00DC1DDB"/>
    <w:rsid w:val="00DC212E"/>
    <w:rsid w:val="00DC3347"/>
    <w:rsid w:val="00DC35BB"/>
    <w:rsid w:val="00DC4CC7"/>
    <w:rsid w:val="00DC4D9C"/>
    <w:rsid w:val="00DC5F3F"/>
    <w:rsid w:val="00DC704A"/>
    <w:rsid w:val="00DC7802"/>
    <w:rsid w:val="00DD0092"/>
    <w:rsid w:val="00DD0721"/>
    <w:rsid w:val="00DD304C"/>
    <w:rsid w:val="00DD45B1"/>
    <w:rsid w:val="00DD7686"/>
    <w:rsid w:val="00DD7D32"/>
    <w:rsid w:val="00DE0146"/>
    <w:rsid w:val="00DE0ABE"/>
    <w:rsid w:val="00DE0EF5"/>
    <w:rsid w:val="00DE203A"/>
    <w:rsid w:val="00DE2E3B"/>
    <w:rsid w:val="00DE384E"/>
    <w:rsid w:val="00DE4E8F"/>
    <w:rsid w:val="00DE55CD"/>
    <w:rsid w:val="00DE5D4D"/>
    <w:rsid w:val="00DE5FF6"/>
    <w:rsid w:val="00DE6250"/>
    <w:rsid w:val="00DF00B6"/>
    <w:rsid w:val="00DF03F5"/>
    <w:rsid w:val="00DF24ED"/>
    <w:rsid w:val="00DF2CA2"/>
    <w:rsid w:val="00DF3F07"/>
    <w:rsid w:val="00DF4448"/>
    <w:rsid w:val="00DF542D"/>
    <w:rsid w:val="00DF7EB0"/>
    <w:rsid w:val="00E00323"/>
    <w:rsid w:val="00E00697"/>
    <w:rsid w:val="00E022F0"/>
    <w:rsid w:val="00E02E7D"/>
    <w:rsid w:val="00E04957"/>
    <w:rsid w:val="00E057C1"/>
    <w:rsid w:val="00E058F7"/>
    <w:rsid w:val="00E05B2F"/>
    <w:rsid w:val="00E10C89"/>
    <w:rsid w:val="00E115AF"/>
    <w:rsid w:val="00E11F44"/>
    <w:rsid w:val="00E12573"/>
    <w:rsid w:val="00E14591"/>
    <w:rsid w:val="00E15A84"/>
    <w:rsid w:val="00E2206A"/>
    <w:rsid w:val="00E232D4"/>
    <w:rsid w:val="00E24BBA"/>
    <w:rsid w:val="00E2517F"/>
    <w:rsid w:val="00E25843"/>
    <w:rsid w:val="00E262C8"/>
    <w:rsid w:val="00E2634E"/>
    <w:rsid w:val="00E2712E"/>
    <w:rsid w:val="00E2784A"/>
    <w:rsid w:val="00E31759"/>
    <w:rsid w:val="00E31E50"/>
    <w:rsid w:val="00E326B9"/>
    <w:rsid w:val="00E34FD8"/>
    <w:rsid w:val="00E37317"/>
    <w:rsid w:val="00E40555"/>
    <w:rsid w:val="00E40915"/>
    <w:rsid w:val="00E40D62"/>
    <w:rsid w:val="00E41B6F"/>
    <w:rsid w:val="00E41FD5"/>
    <w:rsid w:val="00E423B3"/>
    <w:rsid w:val="00E43007"/>
    <w:rsid w:val="00E43C54"/>
    <w:rsid w:val="00E462A1"/>
    <w:rsid w:val="00E47562"/>
    <w:rsid w:val="00E506F9"/>
    <w:rsid w:val="00E508F6"/>
    <w:rsid w:val="00E50FB1"/>
    <w:rsid w:val="00E54916"/>
    <w:rsid w:val="00E55DEF"/>
    <w:rsid w:val="00E6288E"/>
    <w:rsid w:val="00E62B16"/>
    <w:rsid w:val="00E62CFB"/>
    <w:rsid w:val="00E63EB6"/>
    <w:rsid w:val="00E6404F"/>
    <w:rsid w:val="00E6490E"/>
    <w:rsid w:val="00E6636D"/>
    <w:rsid w:val="00E666C8"/>
    <w:rsid w:val="00E6727D"/>
    <w:rsid w:val="00E709C5"/>
    <w:rsid w:val="00E71C65"/>
    <w:rsid w:val="00E745FD"/>
    <w:rsid w:val="00E7545D"/>
    <w:rsid w:val="00E75471"/>
    <w:rsid w:val="00E77F7E"/>
    <w:rsid w:val="00E82D3B"/>
    <w:rsid w:val="00E8392E"/>
    <w:rsid w:val="00E84277"/>
    <w:rsid w:val="00E84F93"/>
    <w:rsid w:val="00E91A99"/>
    <w:rsid w:val="00E91D09"/>
    <w:rsid w:val="00E94672"/>
    <w:rsid w:val="00E95071"/>
    <w:rsid w:val="00E95B88"/>
    <w:rsid w:val="00E95DCA"/>
    <w:rsid w:val="00E95F1E"/>
    <w:rsid w:val="00E9752D"/>
    <w:rsid w:val="00E976C1"/>
    <w:rsid w:val="00E97884"/>
    <w:rsid w:val="00EA128D"/>
    <w:rsid w:val="00EA1902"/>
    <w:rsid w:val="00EA1FF0"/>
    <w:rsid w:val="00EA4377"/>
    <w:rsid w:val="00EA5411"/>
    <w:rsid w:val="00EA5B71"/>
    <w:rsid w:val="00EA6219"/>
    <w:rsid w:val="00EA7BB2"/>
    <w:rsid w:val="00EB02CD"/>
    <w:rsid w:val="00EB11EA"/>
    <w:rsid w:val="00EB1564"/>
    <w:rsid w:val="00EB2337"/>
    <w:rsid w:val="00EB242F"/>
    <w:rsid w:val="00EB4D99"/>
    <w:rsid w:val="00EB50BF"/>
    <w:rsid w:val="00EB54C8"/>
    <w:rsid w:val="00EB61E4"/>
    <w:rsid w:val="00EB62CF"/>
    <w:rsid w:val="00EB6C72"/>
    <w:rsid w:val="00EC00BF"/>
    <w:rsid w:val="00EC0B68"/>
    <w:rsid w:val="00EC1305"/>
    <w:rsid w:val="00EC30DD"/>
    <w:rsid w:val="00EC3703"/>
    <w:rsid w:val="00EC453C"/>
    <w:rsid w:val="00EC532F"/>
    <w:rsid w:val="00EC5D24"/>
    <w:rsid w:val="00ED09F7"/>
    <w:rsid w:val="00ED2AA8"/>
    <w:rsid w:val="00ED4309"/>
    <w:rsid w:val="00ED6782"/>
    <w:rsid w:val="00ED6DE5"/>
    <w:rsid w:val="00ED7B81"/>
    <w:rsid w:val="00EE0C0E"/>
    <w:rsid w:val="00EE121A"/>
    <w:rsid w:val="00EE1310"/>
    <w:rsid w:val="00EE3BC2"/>
    <w:rsid w:val="00EE45F3"/>
    <w:rsid w:val="00EE5466"/>
    <w:rsid w:val="00EF064C"/>
    <w:rsid w:val="00EF70B9"/>
    <w:rsid w:val="00EF7E5F"/>
    <w:rsid w:val="00F0077D"/>
    <w:rsid w:val="00F00B38"/>
    <w:rsid w:val="00F01755"/>
    <w:rsid w:val="00F01B67"/>
    <w:rsid w:val="00F03361"/>
    <w:rsid w:val="00F05AB1"/>
    <w:rsid w:val="00F05B06"/>
    <w:rsid w:val="00F06688"/>
    <w:rsid w:val="00F079FD"/>
    <w:rsid w:val="00F10623"/>
    <w:rsid w:val="00F10F31"/>
    <w:rsid w:val="00F11DF7"/>
    <w:rsid w:val="00F1247F"/>
    <w:rsid w:val="00F12578"/>
    <w:rsid w:val="00F13BBE"/>
    <w:rsid w:val="00F13D99"/>
    <w:rsid w:val="00F14EE4"/>
    <w:rsid w:val="00F14FE0"/>
    <w:rsid w:val="00F15851"/>
    <w:rsid w:val="00F16D08"/>
    <w:rsid w:val="00F16DF6"/>
    <w:rsid w:val="00F17F4F"/>
    <w:rsid w:val="00F244EA"/>
    <w:rsid w:val="00F24AF4"/>
    <w:rsid w:val="00F25CC0"/>
    <w:rsid w:val="00F2732E"/>
    <w:rsid w:val="00F30D6E"/>
    <w:rsid w:val="00F3219C"/>
    <w:rsid w:val="00F344A3"/>
    <w:rsid w:val="00F35976"/>
    <w:rsid w:val="00F42364"/>
    <w:rsid w:val="00F423BB"/>
    <w:rsid w:val="00F433F2"/>
    <w:rsid w:val="00F435A4"/>
    <w:rsid w:val="00F43910"/>
    <w:rsid w:val="00F43C79"/>
    <w:rsid w:val="00F45115"/>
    <w:rsid w:val="00F45412"/>
    <w:rsid w:val="00F4648F"/>
    <w:rsid w:val="00F5032B"/>
    <w:rsid w:val="00F50D2B"/>
    <w:rsid w:val="00F51E79"/>
    <w:rsid w:val="00F526BB"/>
    <w:rsid w:val="00F5274E"/>
    <w:rsid w:val="00F5396D"/>
    <w:rsid w:val="00F55342"/>
    <w:rsid w:val="00F55A2B"/>
    <w:rsid w:val="00F56E93"/>
    <w:rsid w:val="00F60256"/>
    <w:rsid w:val="00F62A64"/>
    <w:rsid w:val="00F63836"/>
    <w:rsid w:val="00F643AE"/>
    <w:rsid w:val="00F6458B"/>
    <w:rsid w:val="00F647DD"/>
    <w:rsid w:val="00F67543"/>
    <w:rsid w:val="00F6789B"/>
    <w:rsid w:val="00F7075A"/>
    <w:rsid w:val="00F72D67"/>
    <w:rsid w:val="00F73013"/>
    <w:rsid w:val="00F73A51"/>
    <w:rsid w:val="00F73DC4"/>
    <w:rsid w:val="00F7432B"/>
    <w:rsid w:val="00F743A4"/>
    <w:rsid w:val="00F748C2"/>
    <w:rsid w:val="00F800FB"/>
    <w:rsid w:val="00F8056E"/>
    <w:rsid w:val="00F81498"/>
    <w:rsid w:val="00F86192"/>
    <w:rsid w:val="00F90322"/>
    <w:rsid w:val="00F91229"/>
    <w:rsid w:val="00F91EB1"/>
    <w:rsid w:val="00F9232B"/>
    <w:rsid w:val="00F9240A"/>
    <w:rsid w:val="00F946E2"/>
    <w:rsid w:val="00F9503A"/>
    <w:rsid w:val="00F95D46"/>
    <w:rsid w:val="00F96291"/>
    <w:rsid w:val="00F975AE"/>
    <w:rsid w:val="00F97C5D"/>
    <w:rsid w:val="00F97D8E"/>
    <w:rsid w:val="00FA30C1"/>
    <w:rsid w:val="00FA5E82"/>
    <w:rsid w:val="00FA7690"/>
    <w:rsid w:val="00FA7BA6"/>
    <w:rsid w:val="00FB134C"/>
    <w:rsid w:val="00FB1DFB"/>
    <w:rsid w:val="00FB1F95"/>
    <w:rsid w:val="00FB31E6"/>
    <w:rsid w:val="00FB4F65"/>
    <w:rsid w:val="00FB6755"/>
    <w:rsid w:val="00FB7B10"/>
    <w:rsid w:val="00FC1233"/>
    <w:rsid w:val="00FC20B7"/>
    <w:rsid w:val="00FC2582"/>
    <w:rsid w:val="00FC43DF"/>
    <w:rsid w:val="00FC55F9"/>
    <w:rsid w:val="00FC5BE1"/>
    <w:rsid w:val="00FC61BE"/>
    <w:rsid w:val="00FC79E6"/>
    <w:rsid w:val="00FD1202"/>
    <w:rsid w:val="00FD3511"/>
    <w:rsid w:val="00FD38A7"/>
    <w:rsid w:val="00FD4044"/>
    <w:rsid w:val="00FD476E"/>
    <w:rsid w:val="00FD49F2"/>
    <w:rsid w:val="00FD55B1"/>
    <w:rsid w:val="00FD644E"/>
    <w:rsid w:val="00FD7F5F"/>
    <w:rsid w:val="00FE0642"/>
    <w:rsid w:val="00FE2D83"/>
    <w:rsid w:val="00FE2D89"/>
    <w:rsid w:val="00FE2E07"/>
    <w:rsid w:val="00FE43EC"/>
    <w:rsid w:val="00FE470E"/>
    <w:rsid w:val="00FF046D"/>
    <w:rsid w:val="00FF148C"/>
    <w:rsid w:val="00FF241A"/>
    <w:rsid w:val="00FF2693"/>
    <w:rsid w:val="00FF31FE"/>
    <w:rsid w:val="00FF36A9"/>
    <w:rsid w:val="00FF41BB"/>
    <w:rsid w:val="00FF4C50"/>
    <w:rsid w:val="00FF4F65"/>
    <w:rsid w:val="00FF535F"/>
    <w:rsid w:val="00FF5891"/>
    <w:rsid w:val="00FF5D75"/>
    <w:rsid w:val="00FF636A"/>
    <w:rsid w:val="00FF69C9"/>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C7F8B2A"/>
  <w15:docId w15:val="{7E09D279-761C-43C3-A08A-56FAAD370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pPr>
        <w:spacing w:line="276" w:lineRule="auto"/>
        <w:jc w:val="both"/>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136EE"/>
    <w:rPr>
      <w:sz w:val="24"/>
      <w:szCs w:val="24"/>
    </w:rPr>
  </w:style>
  <w:style w:type="paragraph" w:styleId="1">
    <w:name w:val="heading 1"/>
    <w:aliases w:val="h1,TOC,app heading 1,Kapitel"/>
    <w:basedOn w:val="a"/>
    <w:next w:val="a"/>
    <w:uiPriority w:val="9"/>
    <w:qFormat/>
    <w:rsid w:val="000136EE"/>
    <w:pPr>
      <w:keepNext/>
      <w:ind w:left="5040" w:firstLine="720"/>
      <w:jc w:val="center"/>
      <w:outlineLvl w:val="0"/>
    </w:pPr>
    <w:rPr>
      <w:b/>
      <w:bCs/>
      <w:sz w:val="26"/>
      <w:u w:val="single"/>
    </w:rPr>
  </w:style>
  <w:style w:type="paragraph" w:styleId="2">
    <w:name w:val="heading 2"/>
    <w:aliases w:val="h2,Heading 2 char, Heading 2,Heading 2 Char,Proposal,Heading 2 Hidden,2,Header 2,l2,Level 2 Head,H2,heading 2,h21,21,Header 21,l21,Level 2 Head1,H21,heading 21,h22,22,Header 22,l22,Level 2 Head2,H22,heading 22,h211,211,Header 211"/>
    <w:basedOn w:val="a"/>
    <w:next w:val="a"/>
    <w:uiPriority w:val="9"/>
    <w:qFormat/>
    <w:rsid w:val="000136EE"/>
    <w:pPr>
      <w:keepNext/>
      <w:jc w:val="center"/>
      <w:outlineLvl w:val="1"/>
    </w:pPr>
    <w:rPr>
      <w:b/>
      <w:bCs/>
    </w:rPr>
  </w:style>
  <w:style w:type="paragraph" w:styleId="30">
    <w:name w:val="heading 3"/>
    <w:aliases w:val="Underrubrik2,h3,Heading3,Heading 3 Heading3,3,l3,Guide 3,Head 3,List level 3,list 3,l3+toc 3,CT,X.X.X,two dig,C Sub-Sub/Italic,Head 31,Head 32,C Sub-Sub/Italic1,h3 sub heading,H3,3m,heading 3,Level 3 Head,31,l31,Level 3 Head1,H31"/>
    <w:basedOn w:val="a"/>
    <w:next w:val="a"/>
    <w:uiPriority w:val="9"/>
    <w:qFormat/>
    <w:rsid w:val="000136EE"/>
    <w:pPr>
      <w:keepNext/>
      <w:jc w:val="center"/>
      <w:outlineLvl w:val="2"/>
    </w:pPr>
    <w:rPr>
      <w:b/>
      <w:bCs/>
      <w:sz w:val="26"/>
      <w:u w:val="single"/>
    </w:rPr>
  </w:style>
  <w:style w:type="paragraph" w:styleId="4">
    <w:name w:val="heading 4"/>
    <w:aliases w:val="h4"/>
    <w:basedOn w:val="a"/>
    <w:next w:val="a"/>
    <w:qFormat/>
    <w:rsid w:val="008A3F7C"/>
    <w:pPr>
      <w:keepNext/>
      <w:tabs>
        <w:tab w:val="right" w:pos="8505"/>
      </w:tabs>
      <w:spacing w:before="360" w:after="360" w:line="360" w:lineRule="atLeast"/>
      <w:outlineLvl w:val="3"/>
    </w:pPr>
    <w:rPr>
      <w:i/>
      <w:sz w:val="22"/>
      <w:szCs w:val="20"/>
      <w:lang w:val="en-GB" w:eastAsia="en-US"/>
    </w:rPr>
  </w:style>
  <w:style w:type="paragraph" w:styleId="5">
    <w:name w:val="heading 5"/>
    <w:basedOn w:val="a"/>
    <w:next w:val="a"/>
    <w:qFormat/>
    <w:rsid w:val="002E1A96"/>
    <w:pPr>
      <w:spacing w:before="240" w:after="60"/>
      <w:outlineLvl w:val="4"/>
    </w:pPr>
    <w:rPr>
      <w:b/>
      <w:bCs/>
      <w:i/>
      <w:iCs/>
      <w:sz w:val="26"/>
      <w:szCs w:val="26"/>
    </w:rPr>
  </w:style>
  <w:style w:type="paragraph" w:styleId="6">
    <w:name w:val="heading 6"/>
    <w:basedOn w:val="a"/>
    <w:next w:val="a"/>
    <w:qFormat/>
    <w:rsid w:val="002E1A9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_υποσέλιδο,ft,fo,Footer1,f1,Fakelos_Enotita_Sel,f,_?p?s???d?"/>
    <w:basedOn w:val="a"/>
    <w:link w:val="Char"/>
    <w:uiPriority w:val="99"/>
    <w:rsid w:val="000136EE"/>
    <w:pPr>
      <w:tabs>
        <w:tab w:val="center" w:pos="4153"/>
        <w:tab w:val="right" w:pos="8306"/>
      </w:tabs>
    </w:pPr>
  </w:style>
  <w:style w:type="character" w:styleId="a4">
    <w:name w:val="page number"/>
    <w:basedOn w:val="a0"/>
    <w:rsid w:val="000136EE"/>
  </w:style>
  <w:style w:type="paragraph" w:styleId="20">
    <w:name w:val="Body Text 2"/>
    <w:basedOn w:val="a"/>
    <w:rsid w:val="000136EE"/>
    <w:pPr>
      <w:jc w:val="center"/>
    </w:pPr>
    <w:rPr>
      <w:b/>
      <w:bCs/>
      <w:sz w:val="26"/>
      <w:u w:val="single"/>
    </w:rPr>
  </w:style>
  <w:style w:type="paragraph" w:styleId="21">
    <w:name w:val="Body Text Indent 2"/>
    <w:basedOn w:val="a"/>
    <w:rsid w:val="000136EE"/>
    <w:pPr>
      <w:ind w:left="1440" w:hanging="720"/>
    </w:pPr>
    <w:rPr>
      <w:rFonts w:ascii="Arial" w:hAnsi="Arial" w:cs="Arial"/>
    </w:rPr>
  </w:style>
  <w:style w:type="paragraph" w:styleId="a5">
    <w:name w:val="header"/>
    <w:aliases w:val="hd,encabezado,Headertext"/>
    <w:basedOn w:val="a"/>
    <w:link w:val="Char0"/>
    <w:uiPriority w:val="99"/>
    <w:rsid w:val="000136EE"/>
    <w:pPr>
      <w:tabs>
        <w:tab w:val="center" w:pos="4153"/>
        <w:tab w:val="right" w:pos="8306"/>
      </w:tabs>
    </w:pPr>
  </w:style>
  <w:style w:type="paragraph" w:styleId="a6">
    <w:name w:val="Block Text"/>
    <w:basedOn w:val="a"/>
    <w:rsid w:val="000136EE"/>
    <w:pPr>
      <w:ind w:left="1440" w:right="32" w:hanging="731"/>
    </w:pPr>
    <w:rPr>
      <w:sz w:val="26"/>
    </w:rPr>
  </w:style>
  <w:style w:type="paragraph" w:customStyle="1" w:styleId="Char1">
    <w:name w:val="Char"/>
    <w:basedOn w:val="a"/>
    <w:rsid w:val="00D31057"/>
    <w:pPr>
      <w:spacing w:after="160" w:line="240" w:lineRule="exact"/>
    </w:pPr>
    <w:rPr>
      <w:rFonts w:ascii="Tahoma" w:hAnsi="Tahoma"/>
      <w:sz w:val="22"/>
      <w:szCs w:val="22"/>
      <w:lang w:val="en-US" w:eastAsia="en-US"/>
    </w:rPr>
  </w:style>
  <w:style w:type="paragraph" w:customStyle="1" w:styleId="EETTBasic">
    <w:name w:val="EETT_Basic"/>
    <w:basedOn w:val="a"/>
    <w:rsid w:val="00D31057"/>
    <w:pPr>
      <w:spacing w:before="120" w:line="160" w:lineRule="atLeast"/>
    </w:pPr>
    <w:rPr>
      <w:rFonts w:ascii="Georgia" w:hAnsi="Georgia"/>
      <w:spacing w:val="10"/>
      <w:sz w:val="22"/>
      <w:szCs w:val="20"/>
      <w:lang w:eastAsia="en-US"/>
    </w:rPr>
  </w:style>
  <w:style w:type="paragraph" w:styleId="a7">
    <w:name w:val="Body Text Indent"/>
    <w:basedOn w:val="a"/>
    <w:rsid w:val="00664A38"/>
    <w:pPr>
      <w:spacing w:after="120"/>
      <w:ind w:left="283"/>
    </w:pPr>
  </w:style>
  <w:style w:type="paragraph" w:styleId="31">
    <w:name w:val="Body Text Indent 3"/>
    <w:basedOn w:val="a"/>
    <w:rsid w:val="00664A38"/>
    <w:pPr>
      <w:spacing w:after="120"/>
      <w:ind w:left="283"/>
    </w:pPr>
    <w:rPr>
      <w:sz w:val="16"/>
      <w:szCs w:val="16"/>
    </w:rPr>
  </w:style>
  <w:style w:type="table" w:styleId="a8">
    <w:name w:val="Table Grid"/>
    <w:basedOn w:val="a1"/>
    <w:uiPriority w:val="39"/>
    <w:rsid w:val="008D2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aliases w:val="Footnote Text3,Footnote Text12,ALTS FOOTNOTE12,Footnote Text Char112,Footnote Text Char Char Char12,Footnote Text Char1 Char Char Char Char12,Footnote Text Char1 Char Char Char12,ALTS FOOTNOTE3,Footnote Text 2,ALTS FOOTNOTE,fn"/>
    <w:basedOn w:val="a"/>
    <w:link w:val="Char2"/>
    <w:uiPriority w:val="99"/>
    <w:qFormat/>
    <w:rsid w:val="008D2947"/>
    <w:rPr>
      <w:sz w:val="20"/>
      <w:szCs w:val="20"/>
    </w:rPr>
  </w:style>
  <w:style w:type="character" w:styleId="aa">
    <w:name w:val="footnote reference"/>
    <w:aliases w:val="Appel note de bas de p,Nota,fr,o,Style 6,(NECG) Footnote Reference,Footnote,Footnote symbol,Footnote symbol Char,Footnote Char Char,Footnote number,Footnote reference number,note TESI"/>
    <w:uiPriority w:val="99"/>
    <w:rsid w:val="008D2947"/>
    <w:rPr>
      <w:vertAlign w:val="superscript"/>
    </w:rPr>
  </w:style>
  <w:style w:type="paragraph" w:customStyle="1" w:styleId="Nextrow">
    <w:name w:val="Nextrow"/>
    <w:rsid w:val="008D2947"/>
    <w:pPr>
      <w:spacing w:before="40" w:after="40"/>
    </w:pPr>
    <w:rPr>
      <w:rFonts w:ascii="Arial" w:eastAsia="Arial" w:hAnsi="Arial" w:cs="Arial"/>
      <w:bCs/>
      <w:sz w:val="17"/>
      <w:lang w:val="en-GB" w:eastAsia="en-GB"/>
    </w:rPr>
  </w:style>
  <w:style w:type="character" w:customStyle="1" w:styleId="NumberedParagraph">
    <w:name w:val="Numbered Paragraph"/>
    <w:rsid w:val="008D2947"/>
    <w:rPr>
      <w:rFonts w:ascii="Times New Roman" w:hAnsi="Times New Roman"/>
      <w:sz w:val="24"/>
      <w:lang w:val="en-GB" w:eastAsia="en-US" w:bidi="ar-SA"/>
    </w:rPr>
  </w:style>
  <w:style w:type="character" w:customStyle="1" w:styleId="NumberedParagraphsCharCharCharCharCharCharChar">
    <w:name w:val="Numbered Paragraphs Char Char Char Char Char Char Char"/>
    <w:rsid w:val="00897093"/>
    <w:rPr>
      <w:sz w:val="24"/>
      <w:lang w:val="en-GB" w:eastAsia="en-US" w:bidi="ar-SA"/>
    </w:rPr>
  </w:style>
  <w:style w:type="paragraph" w:styleId="3">
    <w:name w:val="List Bullet 3"/>
    <w:basedOn w:val="a"/>
    <w:rsid w:val="00712B5C"/>
    <w:pPr>
      <w:numPr>
        <w:numId w:val="1"/>
      </w:numPr>
      <w:spacing w:before="40" w:after="40"/>
    </w:pPr>
    <w:rPr>
      <w:rFonts w:ascii="Arial" w:eastAsia="Arial" w:hAnsi="Arial" w:cs="Arial"/>
      <w:sz w:val="17"/>
      <w:szCs w:val="20"/>
      <w:lang w:val="en-GB" w:eastAsia="en-GB"/>
    </w:rPr>
  </w:style>
  <w:style w:type="paragraph" w:styleId="ab">
    <w:name w:val="Body Text"/>
    <w:basedOn w:val="a"/>
    <w:link w:val="Char3"/>
    <w:uiPriority w:val="1"/>
    <w:qFormat/>
    <w:rsid w:val="00872459"/>
    <w:pPr>
      <w:spacing w:after="120"/>
    </w:pPr>
  </w:style>
  <w:style w:type="paragraph" w:customStyle="1" w:styleId="CharCharChar">
    <w:name w:val="Char Char Char"/>
    <w:basedOn w:val="a"/>
    <w:rsid w:val="00872459"/>
    <w:pPr>
      <w:spacing w:after="160" w:line="240" w:lineRule="exact"/>
    </w:pPr>
    <w:rPr>
      <w:rFonts w:ascii="Tahoma" w:hAnsi="Tahoma"/>
      <w:sz w:val="20"/>
      <w:szCs w:val="20"/>
      <w:lang w:val="en-US" w:eastAsia="en-US"/>
    </w:rPr>
  </w:style>
  <w:style w:type="paragraph" w:customStyle="1" w:styleId="-013">
    <w:name w:val="Στυλ Αριθμημένη διάρθρωση Αριστερά:  -013 εκ."/>
    <w:basedOn w:val="a"/>
    <w:rsid w:val="00E82D3B"/>
    <w:rPr>
      <w:noProof/>
      <w:lang w:val="en-US"/>
    </w:rPr>
  </w:style>
  <w:style w:type="paragraph" w:customStyle="1" w:styleId="-0136">
    <w:name w:val="Στυλ Στυλ Αριθμημένη διάρθρωση Αριστερά:  -013 εκ. + Πριν:  6 στ...."/>
    <w:basedOn w:val="-013"/>
    <w:rsid w:val="00E82D3B"/>
    <w:pPr>
      <w:spacing w:before="120" w:after="120"/>
    </w:pPr>
    <w:rPr>
      <w:noProof w:val="0"/>
      <w:szCs w:val="20"/>
    </w:rPr>
  </w:style>
  <w:style w:type="paragraph" w:customStyle="1" w:styleId="ac">
    <w:name w:val="Âáóéêü"/>
    <w:rsid w:val="00D36C3B"/>
    <w:pPr>
      <w:widowControl w:val="0"/>
    </w:pPr>
  </w:style>
  <w:style w:type="paragraph" w:customStyle="1" w:styleId="CharChar1CharCharCharChar">
    <w:name w:val="Char Char1 Char Char Char Char"/>
    <w:basedOn w:val="a"/>
    <w:rsid w:val="006717F8"/>
    <w:pPr>
      <w:spacing w:after="160" w:line="240" w:lineRule="exact"/>
    </w:pPr>
    <w:rPr>
      <w:rFonts w:ascii="Tahoma" w:hAnsi="Tahoma"/>
      <w:sz w:val="20"/>
      <w:szCs w:val="20"/>
      <w:lang w:val="en-US" w:eastAsia="en-US"/>
    </w:rPr>
  </w:style>
  <w:style w:type="paragraph" w:customStyle="1" w:styleId="01">
    <w:name w:val="01"/>
    <w:basedOn w:val="a"/>
    <w:rsid w:val="004C5F2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505"/>
      </w:tabs>
      <w:spacing w:line="360" w:lineRule="atLeast"/>
    </w:pPr>
    <w:rPr>
      <w:sz w:val="22"/>
      <w:szCs w:val="20"/>
      <w:lang w:val="en-GB" w:eastAsia="en-US"/>
    </w:rPr>
  </w:style>
  <w:style w:type="character" w:styleId="ad">
    <w:name w:val="annotation reference"/>
    <w:uiPriority w:val="99"/>
    <w:semiHidden/>
    <w:rsid w:val="00DC5F3F"/>
    <w:rPr>
      <w:sz w:val="16"/>
      <w:szCs w:val="16"/>
    </w:rPr>
  </w:style>
  <w:style w:type="paragraph" w:styleId="ae">
    <w:name w:val="annotation text"/>
    <w:basedOn w:val="a"/>
    <w:link w:val="Char4"/>
    <w:uiPriority w:val="99"/>
    <w:semiHidden/>
    <w:rsid w:val="00DC5F3F"/>
    <w:rPr>
      <w:sz w:val="20"/>
      <w:szCs w:val="20"/>
    </w:rPr>
  </w:style>
  <w:style w:type="paragraph" w:styleId="af">
    <w:name w:val="annotation subject"/>
    <w:basedOn w:val="ae"/>
    <w:next w:val="ae"/>
    <w:semiHidden/>
    <w:rsid w:val="00DC5F3F"/>
    <w:rPr>
      <w:b/>
      <w:bCs/>
    </w:rPr>
  </w:style>
  <w:style w:type="paragraph" w:styleId="af0">
    <w:name w:val="Balloon Text"/>
    <w:basedOn w:val="a"/>
    <w:semiHidden/>
    <w:rsid w:val="00DC5F3F"/>
    <w:rPr>
      <w:rFonts w:ascii="Tahoma" w:hAnsi="Tahoma" w:cs="Tahoma"/>
      <w:sz w:val="16"/>
      <w:szCs w:val="16"/>
    </w:rPr>
  </w:style>
  <w:style w:type="paragraph" w:customStyle="1" w:styleId="CharChar">
    <w:name w:val="Char Char"/>
    <w:basedOn w:val="a"/>
    <w:rsid w:val="00725C9D"/>
    <w:pPr>
      <w:spacing w:after="160" w:line="240" w:lineRule="exact"/>
    </w:pPr>
    <w:rPr>
      <w:rFonts w:ascii="Tahoma" w:hAnsi="Tahoma"/>
      <w:sz w:val="20"/>
      <w:szCs w:val="20"/>
      <w:lang w:val="en-US" w:eastAsia="en-US"/>
    </w:rPr>
  </w:style>
  <w:style w:type="paragraph" w:customStyle="1" w:styleId="DoubleCenter">
    <w:name w:val="Double Center"/>
    <w:basedOn w:val="a"/>
    <w:next w:val="a"/>
    <w:rsid w:val="008A3F7C"/>
    <w:pPr>
      <w:spacing w:line="480" w:lineRule="auto"/>
      <w:jc w:val="center"/>
    </w:pPr>
    <w:rPr>
      <w:rFonts w:ascii="Times" w:hAnsi="Times"/>
      <w:lang w:eastAsia="en-US"/>
    </w:rPr>
  </w:style>
  <w:style w:type="character" w:customStyle="1" w:styleId="FootnoteTextChar">
    <w:name w:val="Footnote Text Char"/>
    <w:rsid w:val="008A3F7C"/>
    <w:rPr>
      <w:rFonts w:ascii="Times New Roman" w:hAnsi="Times New Roman"/>
      <w:sz w:val="18"/>
      <w:szCs w:val="16"/>
      <w:lang w:val="en-GB" w:eastAsia="en-US" w:bidi="ar-SA"/>
    </w:rPr>
  </w:style>
  <w:style w:type="paragraph" w:styleId="-HTML">
    <w:name w:val="HTML Preformatted"/>
    <w:basedOn w:val="a"/>
    <w:rsid w:val="00827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OC0">
    <w:name w:val="TOC 0"/>
    <w:basedOn w:val="a"/>
    <w:next w:val="10"/>
    <w:rsid w:val="00C61451"/>
    <w:pPr>
      <w:spacing w:before="240"/>
    </w:pPr>
    <w:rPr>
      <w:rFonts w:ascii="Times" w:hAnsi="Times"/>
      <w:lang w:eastAsia="en-US"/>
    </w:rPr>
  </w:style>
  <w:style w:type="paragraph" w:styleId="10">
    <w:name w:val="toc 1"/>
    <w:basedOn w:val="a"/>
    <w:next w:val="a"/>
    <w:autoRedefine/>
    <w:semiHidden/>
    <w:rsid w:val="00C61451"/>
  </w:style>
  <w:style w:type="paragraph" w:customStyle="1" w:styleId="Tableheading">
    <w:name w:val="Table: heading"/>
    <w:basedOn w:val="a"/>
    <w:rsid w:val="00E14591"/>
    <w:pPr>
      <w:keepNext/>
      <w:tabs>
        <w:tab w:val="right" w:pos="8505"/>
      </w:tabs>
      <w:spacing w:before="40" w:after="40" w:line="280" w:lineRule="exact"/>
      <w:ind w:right="113"/>
    </w:pPr>
    <w:rPr>
      <w:rFonts w:ascii="Arial" w:hAnsi="Arial"/>
      <w:i/>
      <w:sz w:val="18"/>
      <w:szCs w:val="20"/>
      <w:lang w:val="en-GB" w:eastAsia="en-US"/>
    </w:rPr>
  </w:style>
  <w:style w:type="paragraph" w:customStyle="1" w:styleId="Tablecells">
    <w:name w:val="Table: cells"/>
    <w:basedOn w:val="a"/>
    <w:rsid w:val="00E14591"/>
    <w:pPr>
      <w:keepNext/>
      <w:tabs>
        <w:tab w:val="right" w:pos="8505"/>
      </w:tabs>
      <w:spacing w:before="40" w:after="40" w:line="240" w:lineRule="exact"/>
      <w:ind w:right="113"/>
    </w:pPr>
    <w:rPr>
      <w:rFonts w:ascii="Arial" w:hAnsi="Arial"/>
      <w:sz w:val="18"/>
      <w:szCs w:val="20"/>
      <w:lang w:val="en-GB" w:eastAsia="en-US"/>
    </w:rPr>
  </w:style>
  <w:style w:type="paragraph" w:customStyle="1" w:styleId="CharChar1">
    <w:name w:val="Char Char1"/>
    <w:basedOn w:val="a"/>
    <w:rsid w:val="00C43205"/>
    <w:pPr>
      <w:spacing w:after="160" w:line="240" w:lineRule="exact"/>
    </w:pPr>
    <w:rPr>
      <w:rFonts w:ascii="Tahoma" w:hAnsi="Tahoma"/>
      <w:sz w:val="22"/>
      <w:szCs w:val="22"/>
      <w:lang w:val="en-US" w:eastAsia="en-US"/>
    </w:rPr>
  </w:style>
  <w:style w:type="paragraph" w:styleId="af1">
    <w:name w:val="Document Map"/>
    <w:basedOn w:val="a"/>
    <w:semiHidden/>
    <w:rsid w:val="00C43205"/>
    <w:pPr>
      <w:shd w:val="clear" w:color="auto" w:fill="000080"/>
    </w:pPr>
    <w:rPr>
      <w:rFonts w:ascii="Tahoma" w:hAnsi="Tahoma" w:cs="Tahoma"/>
      <w:sz w:val="20"/>
      <w:szCs w:val="20"/>
    </w:rPr>
  </w:style>
  <w:style w:type="character" w:customStyle="1" w:styleId="Char2">
    <w:name w:val="Κείμενο υποσημείωσης Char"/>
    <w:aliases w:val="Footnote Text3 Char,Footnote Text12 Char,ALTS FOOTNOTE12 Char,Footnote Text Char112 Char,Footnote Text Char Char Char12 Char,Footnote Text Char1 Char Char Char Char12 Char,Footnote Text Char1 Char Char Char12 Char,fn Char1"/>
    <w:link w:val="a9"/>
    <w:uiPriority w:val="99"/>
    <w:rsid w:val="007A770D"/>
    <w:rPr>
      <w:lang w:val="el-GR" w:eastAsia="el-GR" w:bidi="ar-SA"/>
    </w:rPr>
  </w:style>
  <w:style w:type="paragraph" w:customStyle="1" w:styleId="-1">
    <w:name w:val="Επ-1"/>
    <w:basedOn w:val="a"/>
    <w:next w:val="a"/>
    <w:rsid w:val="007B28FE"/>
    <w:pPr>
      <w:numPr>
        <w:numId w:val="3"/>
      </w:numPr>
      <w:spacing w:before="100" w:beforeAutospacing="1" w:line="360" w:lineRule="auto"/>
    </w:pPr>
    <w:rPr>
      <w:rFonts w:ascii="Times" w:hAnsi="Times"/>
      <w:b/>
      <w:sz w:val="28"/>
    </w:rPr>
  </w:style>
  <w:style w:type="paragraph" w:customStyle="1" w:styleId="-2">
    <w:name w:val="Επ-2"/>
    <w:basedOn w:val="a"/>
    <w:next w:val="a"/>
    <w:rsid w:val="007B28FE"/>
    <w:pPr>
      <w:numPr>
        <w:ilvl w:val="1"/>
        <w:numId w:val="3"/>
      </w:numPr>
      <w:spacing w:before="100" w:beforeAutospacing="1" w:after="120" w:line="360" w:lineRule="auto"/>
    </w:pPr>
    <w:rPr>
      <w:rFonts w:ascii="Times" w:hAnsi="Times"/>
      <w:b/>
      <w:sz w:val="26"/>
    </w:rPr>
  </w:style>
  <w:style w:type="paragraph" w:customStyle="1" w:styleId="-3">
    <w:name w:val="Επ-3"/>
    <w:basedOn w:val="a"/>
    <w:next w:val="a"/>
    <w:rsid w:val="007B28FE"/>
    <w:pPr>
      <w:numPr>
        <w:ilvl w:val="2"/>
        <w:numId w:val="3"/>
      </w:numPr>
      <w:spacing w:before="100" w:beforeAutospacing="1" w:after="120" w:line="360" w:lineRule="auto"/>
    </w:pPr>
    <w:rPr>
      <w:rFonts w:ascii="Times" w:hAnsi="Times"/>
      <w:b/>
    </w:rPr>
  </w:style>
  <w:style w:type="paragraph" w:customStyle="1" w:styleId="-4">
    <w:name w:val="Επ-4"/>
    <w:basedOn w:val="a"/>
    <w:next w:val="a"/>
    <w:rsid w:val="007B28FE"/>
    <w:pPr>
      <w:keepNext/>
      <w:numPr>
        <w:ilvl w:val="3"/>
        <w:numId w:val="3"/>
      </w:numPr>
      <w:spacing w:before="100" w:beforeAutospacing="1" w:after="120" w:line="360" w:lineRule="auto"/>
      <w:outlineLvl w:val="1"/>
    </w:pPr>
    <w:rPr>
      <w:rFonts w:ascii="Times" w:eastAsia="Times" w:hAnsi="Times"/>
      <w:b/>
    </w:rPr>
  </w:style>
  <w:style w:type="paragraph" w:customStyle="1" w:styleId="-5">
    <w:name w:val="Επ-5"/>
    <w:basedOn w:val="a"/>
    <w:next w:val="a"/>
    <w:rsid w:val="007B28FE"/>
    <w:pPr>
      <w:numPr>
        <w:ilvl w:val="4"/>
        <w:numId w:val="3"/>
      </w:numPr>
      <w:spacing w:before="100" w:beforeAutospacing="1" w:after="120" w:line="360" w:lineRule="auto"/>
    </w:pPr>
    <w:rPr>
      <w:rFonts w:ascii="Times" w:hAnsi="Times"/>
      <w:b/>
      <w:bCs/>
    </w:rPr>
  </w:style>
  <w:style w:type="paragraph" w:customStyle="1" w:styleId="-6">
    <w:name w:val="Επ-6"/>
    <w:basedOn w:val="a"/>
    <w:next w:val="a"/>
    <w:rsid w:val="007B28FE"/>
    <w:pPr>
      <w:numPr>
        <w:ilvl w:val="5"/>
        <w:numId w:val="3"/>
      </w:numPr>
    </w:pPr>
    <w:rPr>
      <w:b/>
    </w:rPr>
  </w:style>
  <w:style w:type="paragraph" w:styleId="af2">
    <w:name w:val="List Paragraph"/>
    <w:basedOn w:val="a"/>
    <w:link w:val="Char5"/>
    <w:uiPriority w:val="34"/>
    <w:qFormat/>
    <w:rsid w:val="00B118DA"/>
    <w:pPr>
      <w:spacing w:after="200"/>
      <w:ind w:left="720"/>
      <w:contextualSpacing/>
    </w:pPr>
    <w:rPr>
      <w:rFonts w:ascii="Calibri" w:eastAsia="Calibri" w:hAnsi="Calibri"/>
      <w:sz w:val="22"/>
      <w:szCs w:val="22"/>
      <w:lang w:eastAsia="en-US"/>
    </w:rPr>
  </w:style>
  <w:style w:type="paragraph" w:styleId="32">
    <w:name w:val="Body Text 3"/>
    <w:basedOn w:val="a"/>
    <w:link w:val="3Char"/>
    <w:rsid w:val="00B46303"/>
    <w:pPr>
      <w:spacing w:after="120"/>
    </w:pPr>
    <w:rPr>
      <w:sz w:val="16"/>
      <w:szCs w:val="16"/>
    </w:rPr>
  </w:style>
  <w:style w:type="character" w:customStyle="1" w:styleId="3Char">
    <w:name w:val="Σώμα κείμενου 3 Char"/>
    <w:link w:val="32"/>
    <w:rsid w:val="00B46303"/>
    <w:rPr>
      <w:sz w:val="16"/>
      <w:szCs w:val="16"/>
    </w:rPr>
  </w:style>
  <w:style w:type="paragraph" w:customStyle="1" w:styleId="Char1CharCharCharCharChar1Char">
    <w:name w:val="Char1 Char Char Char Char Char1 Char"/>
    <w:basedOn w:val="a"/>
    <w:rsid w:val="00B46303"/>
    <w:pPr>
      <w:spacing w:after="160" w:line="240" w:lineRule="exact"/>
    </w:pPr>
    <w:rPr>
      <w:rFonts w:ascii="Tahoma" w:hAnsi="Tahoma"/>
      <w:sz w:val="22"/>
      <w:szCs w:val="22"/>
      <w:lang w:val="en-US" w:eastAsia="en-US"/>
    </w:rPr>
  </w:style>
  <w:style w:type="paragraph" w:customStyle="1" w:styleId="Char1CharCharCharCharCharChar">
    <w:name w:val="Char1 Char Char Char Char Char Char"/>
    <w:basedOn w:val="a"/>
    <w:rsid w:val="009A03AA"/>
    <w:pPr>
      <w:spacing w:after="160" w:line="240" w:lineRule="exact"/>
    </w:pPr>
    <w:rPr>
      <w:rFonts w:ascii="Tahoma" w:hAnsi="Tahoma"/>
      <w:sz w:val="20"/>
      <w:szCs w:val="20"/>
      <w:lang w:val="en-US" w:eastAsia="en-US"/>
    </w:rPr>
  </w:style>
  <w:style w:type="paragraph" w:customStyle="1" w:styleId="Heading1Heading1">
    <w:name w:val="Heading 1  Heading 1"/>
    <w:basedOn w:val="1"/>
    <w:next w:val="a"/>
    <w:rsid w:val="003757BA"/>
    <w:pPr>
      <w:keepLines/>
      <w:pageBreakBefore/>
      <w:numPr>
        <w:numId w:val="2"/>
      </w:numPr>
      <w:overflowPunct w:val="0"/>
      <w:autoSpaceDE w:val="0"/>
      <w:autoSpaceDN w:val="0"/>
      <w:adjustRightInd w:val="0"/>
      <w:spacing w:before="120" w:after="120"/>
      <w:ind w:right="720"/>
      <w:textAlignment w:val="baseline"/>
    </w:pPr>
    <w:rPr>
      <w:rFonts w:eastAsia="Times"/>
      <w:b w:val="0"/>
      <w:kern w:val="28"/>
      <w:sz w:val="28"/>
      <w:szCs w:val="28"/>
      <w:u w:val="none"/>
    </w:rPr>
  </w:style>
  <w:style w:type="character" w:styleId="-">
    <w:name w:val="Hyperlink"/>
    <w:rsid w:val="001C5796"/>
    <w:rPr>
      <w:color w:val="0000FF"/>
      <w:u w:val="single"/>
    </w:rPr>
  </w:style>
  <w:style w:type="character" w:customStyle="1" w:styleId="FootnoteText2Char">
    <w:name w:val="Footnote Text 2 Char"/>
    <w:aliases w:val="fn Char Char Char1,Footnote Text Char1 Char Char Char1,Footnote Text1 Char Char Char1,Footnote Text1 Char Char Char Char,fn Char Char Char Char,fn Char Char1,fn Char,Footnote Text Char1 Char Char Char Char1 Char Char"/>
    <w:semiHidden/>
    <w:rsid w:val="001C5796"/>
    <w:rPr>
      <w:sz w:val="18"/>
      <w:lang w:val="el-GR" w:eastAsia="el-GR" w:bidi="ar-SA"/>
    </w:rPr>
  </w:style>
  <w:style w:type="character" w:customStyle="1" w:styleId="Char0">
    <w:name w:val="Κεφαλίδα Char"/>
    <w:aliases w:val="hd Char,encabezado Char,Headertext Char"/>
    <w:link w:val="a5"/>
    <w:uiPriority w:val="99"/>
    <w:rsid w:val="00C934CC"/>
    <w:rPr>
      <w:sz w:val="24"/>
      <w:szCs w:val="24"/>
    </w:rPr>
  </w:style>
  <w:style w:type="paragraph" w:customStyle="1" w:styleId="CM4">
    <w:name w:val="CM4"/>
    <w:basedOn w:val="a"/>
    <w:next w:val="a"/>
    <w:rsid w:val="00576C86"/>
    <w:pPr>
      <w:autoSpaceDE w:val="0"/>
      <w:autoSpaceDN w:val="0"/>
      <w:adjustRightInd w:val="0"/>
    </w:pPr>
    <w:rPr>
      <w:rFonts w:ascii="EUAlbertina" w:hAnsi="EUAlbertina"/>
    </w:rPr>
  </w:style>
  <w:style w:type="character" w:customStyle="1" w:styleId="FootnoteTextChar1">
    <w:name w:val="Footnote Text Char1"/>
    <w:aliases w:val="footnote text,Footnote Text Char Char Char,Footnote Text Char1 Char Char Char,Footnote Text Char Char,Footnote Text Char1 Char Char Char Char"/>
    <w:rsid w:val="0011765C"/>
    <w:rPr>
      <w:rFonts w:ascii="Verdana" w:eastAsia="Times" w:hAnsi="Verdana"/>
      <w:sz w:val="18"/>
      <w:szCs w:val="30"/>
      <w:lang w:val="en-GB" w:eastAsia="en-US" w:bidi="ar-SA"/>
    </w:rPr>
  </w:style>
  <w:style w:type="character" w:customStyle="1" w:styleId="FootnoteText3Char1">
    <w:name w:val="Footnote Text3 Char1"/>
    <w:aliases w:val="Footnote Text12 Char1,ALTS FOOTNOTE12 Char1,Footnote Text Char112 Char1,Footnote Text Char Char Char12 Char1,Footnote Text Char1 Char Char Char Char12 Char1,Footnote Text Char1 Char Char Char12 Char1,ALTS FOOTNOTE3 Char1"/>
    <w:semiHidden/>
    <w:rsid w:val="008A5E21"/>
    <w:rPr>
      <w:lang w:val="el-GR" w:eastAsia="el-GR" w:bidi="ar-SA"/>
    </w:rPr>
  </w:style>
  <w:style w:type="character" w:customStyle="1" w:styleId="Char5">
    <w:name w:val="Παράγραφος λίστας Char"/>
    <w:link w:val="af2"/>
    <w:uiPriority w:val="34"/>
    <w:qFormat/>
    <w:rsid w:val="00760D8C"/>
    <w:rPr>
      <w:rFonts w:ascii="Calibri" w:eastAsia="Calibri" w:hAnsi="Calibri"/>
      <w:sz w:val="22"/>
      <w:szCs w:val="22"/>
      <w:lang w:eastAsia="en-US"/>
    </w:rPr>
  </w:style>
  <w:style w:type="paragraph" w:customStyle="1" w:styleId="Default">
    <w:name w:val="Default"/>
    <w:rsid w:val="00CB59BB"/>
    <w:pPr>
      <w:autoSpaceDE w:val="0"/>
      <w:autoSpaceDN w:val="0"/>
      <w:adjustRightInd w:val="0"/>
    </w:pPr>
    <w:rPr>
      <w:rFonts w:ascii="Vodafone Rg" w:hAnsi="Vodafone Rg" w:cs="Vodafone Rg"/>
      <w:color w:val="000000"/>
      <w:sz w:val="24"/>
      <w:szCs w:val="24"/>
    </w:rPr>
  </w:style>
  <w:style w:type="character" w:styleId="af3">
    <w:name w:val="Unresolved Mention"/>
    <w:basedOn w:val="a0"/>
    <w:uiPriority w:val="99"/>
    <w:semiHidden/>
    <w:unhideWhenUsed/>
    <w:rsid w:val="009A75C4"/>
    <w:rPr>
      <w:color w:val="605E5C"/>
      <w:shd w:val="clear" w:color="auto" w:fill="E1DFDD"/>
    </w:rPr>
  </w:style>
  <w:style w:type="paragraph" w:styleId="af4">
    <w:name w:val="Title"/>
    <w:basedOn w:val="a"/>
    <w:link w:val="Char6"/>
    <w:uiPriority w:val="10"/>
    <w:qFormat/>
    <w:rsid w:val="00BD2116"/>
    <w:pPr>
      <w:widowControl w:val="0"/>
      <w:autoSpaceDE w:val="0"/>
      <w:autoSpaceDN w:val="0"/>
      <w:spacing w:before="41"/>
      <w:ind w:left="1800" w:right="725"/>
    </w:pPr>
    <w:rPr>
      <w:rFonts w:ascii="Calibri" w:eastAsia="Calibri" w:hAnsi="Calibri" w:cs="Calibri"/>
      <w:b/>
      <w:bCs/>
      <w:lang w:eastAsia="en-US"/>
    </w:rPr>
  </w:style>
  <w:style w:type="character" w:customStyle="1" w:styleId="Char6">
    <w:name w:val="Τίτλος Char"/>
    <w:basedOn w:val="a0"/>
    <w:link w:val="af4"/>
    <w:uiPriority w:val="10"/>
    <w:rsid w:val="00BD2116"/>
    <w:rPr>
      <w:rFonts w:ascii="Calibri" w:eastAsia="Calibri" w:hAnsi="Calibri" w:cs="Calibri"/>
      <w:b/>
      <w:bCs/>
      <w:sz w:val="24"/>
      <w:szCs w:val="24"/>
      <w:lang w:eastAsia="en-US"/>
    </w:rPr>
  </w:style>
  <w:style w:type="table" w:customStyle="1" w:styleId="TableNormal1">
    <w:name w:val="Table Normal1"/>
    <w:uiPriority w:val="2"/>
    <w:semiHidden/>
    <w:unhideWhenUsed/>
    <w:qFormat/>
    <w:rsid w:val="00BD211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D2116"/>
    <w:pPr>
      <w:widowControl w:val="0"/>
      <w:autoSpaceDE w:val="0"/>
      <w:autoSpaceDN w:val="0"/>
      <w:spacing w:before="23"/>
      <w:jc w:val="center"/>
    </w:pPr>
    <w:rPr>
      <w:rFonts w:ascii="Calibri" w:eastAsia="Calibri" w:hAnsi="Calibri" w:cs="Calibri"/>
      <w:sz w:val="22"/>
      <w:szCs w:val="22"/>
      <w:lang w:eastAsia="en-US"/>
    </w:rPr>
  </w:style>
  <w:style w:type="character" w:customStyle="1" w:styleId="Char">
    <w:name w:val="Υποσέλιδο Char"/>
    <w:aliases w:val="_υποσέλιδο Char,ft Char,fo Char,Footer1 Char,f1 Char,Fakelos_Enotita_Sel Char,f Char,_?p?s???d? Char"/>
    <w:basedOn w:val="a0"/>
    <w:link w:val="a3"/>
    <w:uiPriority w:val="99"/>
    <w:rsid w:val="004C475A"/>
    <w:rPr>
      <w:sz w:val="24"/>
      <w:szCs w:val="24"/>
    </w:rPr>
  </w:style>
  <w:style w:type="paragraph" w:customStyle="1" w:styleId="Heading">
    <w:name w:val="Heading"/>
    <w:basedOn w:val="a"/>
    <w:next w:val="a"/>
    <w:rsid w:val="004C475A"/>
    <w:pPr>
      <w:pBdr>
        <w:top w:val="none" w:sz="0" w:space="0" w:color="000000"/>
        <w:left w:val="none" w:sz="0" w:space="0" w:color="000000"/>
        <w:bottom w:val="single" w:sz="8" w:space="4" w:color="4F81BD"/>
        <w:right w:val="none" w:sz="0" w:space="0" w:color="000000"/>
      </w:pBdr>
      <w:suppressAutoHyphens/>
      <w:spacing w:after="300"/>
      <w:contextualSpacing/>
    </w:pPr>
    <w:rPr>
      <w:rFonts w:ascii="Cambria" w:hAnsi="Cambria" w:cs="Cambria"/>
      <w:color w:val="17365D"/>
      <w:spacing w:val="5"/>
      <w:kern w:val="2"/>
      <w:sz w:val="52"/>
      <w:szCs w:val="52"/>
      <w:lang w:val="x-none" w:eastAsia="zh-CN"/>
    </w:rPr>
  </w:style>
  <w:style w:type="paragraph" w:styleId="Web">
    <w:name w:val="Normal (Web)"/>
    <w:basedOn w:val="a"/>
    <w:uiPriority w:val="99"/>
    <w:semiHidden/>
    <w:unhideWhenUsed/>
    <w:rsid w:val="00063071"/>
    <w:pPr>
      <w:spacing w:before="100" w:beforeAutospacing="1" w:after="100" w:afterAutospacing="1" w:line="240" w:lineRule="auto"/>
      <w:jc w:val="left"/>
    </w:pPr>
  </w:style>
  <w:style w:type="character" w:styleId="af5">
    <w:name w:val="Strong"/>
    <w:basedOn w:val="a0"/>
    <w:uiPriority w:val="22"/>
    <w:qFormat/>
    <w:rsid w:val="00063071"/>
    <w:rPr>
      <w:b/>
      <w:bCs/>
    </w:rPr>
  </w:style>
  <w:style w:type="character" w:customStyle="1" w:styleId="Char3">
    <w:name w:val="Σώμα κειμένου Char"/>
    <w:basedOn w:val="a0"/>
    <w:link w:val="ab"/>
    <w:uiPriority w:val="1"/>
    <w:rsid w:val="00C57AB0"/>
    <w:rPr>
      <w:sz w:val="24"/>
      <w:szCs w:val="24"/>
    </w:rPr>
  </w:style>
  <w:style w:type="character" w:customStyle="1" w:styleId="Char4">
    <w:name w:val="Κείμενο σχολίου Char"/>
    <w:basedOn w:val="a0"/>
    <w:link w:val="ae"/>
    <w:uiPriority w:val="99"/>
    <w:semiHidden/>
    <w:rsid w:val="000E3BF6"/>
  </w:style>
  <w:style w:type="paragraph" w:styleId="af6">
    <w:name w:val="Revision"/>
    <w:hidden/>
    <w:uiPriority w:val="99"/>
    <w:semiHidden/>
    <w:rsid w:val="003765E5"/>
    <w:pPr>
      <w:spacing w:line="240" w:lineRule="auto"/>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3834">
      <w:bodyDiv w:val="1"/>
      <w:marLeft w:val="0"/>
      <w:marRight w:val="0"/>
      <w:marTop w:val="0"/>
      <w:marBottom w:val="0"/>
      <w:divBdr>
        <w:top w:val="none" w:sz="0" w:space="0" w:color="auto"/>
        <w:left w:val="none" w:sz="0" w:space="0" w:color="auto"/>
        <w:bottom w:val="none" w:sz="0" w:space="0" w:color="auto"/>
        <w:right w:val="none" w:sz="0" w:space="0" w:color="auto"/>
      </w:divBdr>
    </w:div>
    <w:div w:id="15234110">
      <w:bodyDiv w:val="1"/>
      <w:marLeft w:val="0"/>
      <w:marRight w:val="0"/>
      <w:marTop w:val="0"/>
      <w:marBottom w:val="0"/>
      <w:divBdr>
        <w:top w:val="none" w:sz="0" w:space="0" w:color="auto"/>
        <w:left w:val="none" w:sz="0" w:space="0" w:color="auto"/>
        <w:bottom w:val="none" w:sz="0" w:space="0" w:color="auto"/>
        <w:right w:val="none" w:sz="0" w:space="0" w:color="auto"/>
      </w:divBdr>
    </w:div>
    <w:div w:id="194122971">
      <w:bodyDiv w:val="1"/>
      <w:marLeft w:val="0"/>
      <w:marRight w:val="0"/>
      <w:marTop w:val="0"/>
      <w:marBottom w:val="0"/>
      <w:divBdr>
        <w:top w:val="none" w:sz="0" w:space="0" w:color="auto"/>
        <w:left w:val="none" w:sz="0" w:space="0" w:color="auto"/>
        <w:bottom w:val="none" w:sz="0" w:space="0" w:color="auto"/>
        <w:right w:val="none" w:sz="0" w:space="0" w:color="auto"/>
      </w:divBdr>
    </w:div>
    <w:div w:id="237254573">
      <w:bodyDiv w:val="1"/>
      <w:marLeft w:val="0"/>
      <w:marRight w:val="0"/>
      <w:marTop w:val="0"/>
      <w:marBottom w:val="0"/>
      <w:divBdr>
        <w:top w:val="none" w:sz="0" w:space="0" w:color="auto"/>
        <w:left w:val="none" w:sz="0" w:space="0" w:color="auto"/>
        <w:bottom w:val="none" w:sz="0" w:space="0" w:color="auto"/>
        <w:right w:val="none" w:sz="0" w:space="0" w:color="auto"/>
      </w:divBdr>
    </w:div>
    <w:div w:id="257910677">
      <w:bodyDiv w:val="1"/>
      <w:marLeft w:val="0"/>
      <w:marRight w:val="0"/>
      <w:marTop w:val="0"/>
      <w:marBottom w:val="0"/>
      <w:divBdr>
        <w:top w:val="none" w:sz="0" w:space="0" w:color="auto"/>
        <w:left w:val="none" w:sz="0" w:space="0" w:color="auto"/>
        <w:bottom w:val="none" w:sz="0" w:space="0" w:color="auto"/>
        <w:right w:val="none" w:sz="0" w:space="0" w:color="auto"/>
      </w:divBdr>
    </w:div>
    <w:div w:id="272830489">
      <w:bodyDiv w:val="1"/>
      <w:marLeft w:val="0"/>
      <w:marRight w:val="0"/>
      <w:marTop w:val="0"/>
      <w:marBottom w:val="0"/>
      <w:divBdr>
        <w:top w:val="none" w:sz="0" w:space="0" w:color="auto"/>
        <w:left w:val="none" w:sz="0" w:space="0" w:color="auto"/>
        <w:bottom w:val="none" w:sz="0" w:space="0" w:color="auto"/>
        <w:right w:val="none" w:sz="0" w:space="0" w:color="auto"/>
      </w:divBdr>
    </w:div>
    <w:div w:id="416248545">
      <w:bodyDiv w:val="1"/>
      <w:marLeft w:val="0"/>
      <w:marRight w:val="0"/>
      <w:marTop w:val="0"/>
      <w:marBottom w:val="0"/>
      <w:divBdr>
        <w:top w:val="none" w:sz="0" w:space="0" w:color="auto"/>
        <w:left w:val="none" w:sz="0" w:space="0" w:color="auto"/>
        <w:bottom w:val="none" w:sz="0" w:space="0" w:color="auto"/>
        <w:right w:val="none" w:sz="0" w:space="0" w:color="auto"/>
      </w:divBdr>
    </w:div>
    <w:div w:id="821428282">
      <w:bodyDiv w:val="1"/>
      <w:marLeft w:val="0"/>
      <w:marRight w:val="0"/>
      <w:marTop w:val="0"/>
      <w:marBottom w:val="0"/>
      <w:divBdr>
        <w:top w:val="none" w:sz="0" w:space="0" w:color="auto"/>
        <w:left w:val="none" w:sz="0" w:space="0" w:color="auto"/>
        <w:bottom w:val="none" w:sz="0" w:space="0" w:color="auto"/>
        <w:right w:val="none" w:sz="0" w:space="0" w:color="auto"/>
      </w:divBdr>
    </w:div>
    <w:div w:id="1490905054">
      <w:bodyDiv w:val="1"/>
      <w:marLeft w:val="0"/>
      <w:marRight w:val="0"/>
      <w:marTop w:val="0"/>
      <w:marBottom w:val="0"/>
      <w:divBdr>
        <w:top w:val="none" w:sz="0" w:space="0" w:color="auto"/>
        <w:left w:val="none" w:sz="0" w:space="0" w:color="auto"/>
        <w:bottom w:val="none" w:sz="0" w:space="0" w:color="auto"/>
        <w:right w:val="none" w:sz="0" w:space="0" w:color="auto"/>
      </w:divBdr>
    </w:div>
    <w:div w:id="1573661068">
      <w:bodyDiv w:val="1"/>
      <w:marLeft w:val="0"/>
      <w:marRight w:val="0"/>
      <w:marTop w:val="0"/>
      <w:marBottom w:val="0"/>
      <w:divBdr>
        <w:top w:val="none" w:sz="0" w:space="0" w:color="auto"/>
        <w:left w:val="none" w:sz="0" w:space="0" w:color="auto"/>
        <w:bottom w:val="none" w:sz="0" w:space="0" w:color="auto"/>
        <w:right w:val="none" w:sz="0" w:space="0" w:color="auto"/>
      </w:divBdr>
    </w:div>
    <w:div w:id="1615332484">
      <w:bodyDiv w:val="1"/>
      <w:marLeft w:val="0"/>
      <w:marRight w:val="0"/>
      <w:marTop w:val="0"/>
      <w:marBottom w:val="0"/>
      <w:divBdr>
        <w:top w:val="none" w:sz="0" w:space="0" w:color="auto"/>
        <w:left w:val="none" w:sz="0" w:space="0" w:color="auto"/>
        <w:bottom w:val="none" w:sz="0" w:space="0" w:color="auto"/>
        <w:right w:val="none" w:sz="0" w:space="0" w:color="auto"/>
      </w:divBdr>
    </w:div>
    <w:div w:id="1681269956">
      <w:bodyDiv w:val="1"/>
      <w:marLeft w:val="0"/>
      <w:marRight w:val="0"/>
      <w:marTop w:val="0"/>
      <w:marBottom w:val="0"/>
      <w:divBdr>
        <w:top w:val="none" w:sz="0" w:space="0" w:color="auto"/>
        <w:left w:val="none" w:sz="0" w:space="0" w:color="auto"/>
        <w:bottom w:val="none" w:sz="0" w:space="0" w:color="auto"/>
        <w:right w:val="none" w:sz="0" w:space="0" w:color="auto"/>
      </w:divBdr>
    </w:div>
    <w:div w:id="1742094010">
      <w:bodyDiv w:val="1"/>
      <w:marLeft w:val="0"/>
      <w:marRight w:val="0"/>
      <w:marTop w:val="0"/>
      <w:marBottom w:val="0"/>
      <w:divBdr>
        <w:top w:val="none" w:sz="0" w:space="0" w:color="auto"/>
        <w:left w:val="none" w:sz="0" w:space="0" w:color="auto"/>
        <w:bottom w:val="none" w:sz="0" w:space="0" w:color="auto"/>
        <w:right w:val="none" w:sz="0" w:space="0" w:color="auto"/>
      </w:divBdr>
    </w:div>
    <w:div w:id="1759517008">
      <w:bodyDiv w:val="1"/>
      <w:marLeft w:val="0"/>
      <w:marRight w:val="0"/>
      <w:marTop w:val="0"/>
      <w:marBottom w:val="0"/>
      <w:divBdr>
        <w:top w:val="none" w:sz="0" w:space="0" w:color="auto"/>
        <w:left w:val="none" w:sz="0" w:space="0" w:color="auto"/>
        <w:bottom w:val="none" w:sz="0" w:space="0" w:color="auto"/>
        <w:right w:val="none" w:sz="0" w:space="0" w:color="auto"/>
      </w:divBdr>
    </w:div>
    <w:div w:id="1795370299">
      <w:bodyDiv w:val="1"/>
      <w:marLeft w:val="0"/>
      <w:marRight w:val="0"/>
      <w:marTop w:val="0"/>
      <w:marBottom w:val="0"/>
      <w:divBdr>
        <w:top w:val="none" w:sz="0" w:space="0" w:color="auto"/>
        <w:left w:val="none" w:sz="0" w:space="0" w:color="auto"/>
        <w:bottom w:val="none" w:sz="0" w:space="0" w:color="auto"/>
        <w:right w:val="none" w:sz="0" w:space="0" w:color="auto"/>
      </w:divBdr>
    </w:div>
    <w:div w:id="1833987016">
      <w:bodyDiv w:val="1"/>
      <w:marLeft w:val="0"/>
      <w:marRight w:val="0"/>
      <w:marTop w:val="0"/>
      <w:marBottom w:val="0"/>
      <w:divBdr>
        <w:top w:val="none" w:sz="0" w:space="0" w:color="auto"/>
        <w:left w:val="none" w:sz="0" w:space="0" w:color="auto"/>
        <w:bottom w:val="none" w:sz="0" w:space="0" w:color="auto"/>
        <w:right w:val="none" w:sz="0" w:space="0" w:color="auto"/>
      </w:divBdr>
    </w:div>
    <w:div w:id="1938823965">
      <w:bodyDiv w:val="1"/>
      <w:marLeft w:val="0"/>
      <w:marRight w:val="0"/>
      <w:marTop w:val="0"/>
      <w:marBottom w:val="0"/>
      <w:divBdr>
        <w:top w:val="none" w:sz="0" w:space="0" w:color="auto"/>
        <w:left w:val="none" w:sz="0" w:space="0" w:color="auto"/>
        <w:bottom w:val="none" w:sz="0" w:space="0" w:color="auto"/>
        <w:right w:val="none" w:sz="0" w:space="0" w:color="auto"/>
      </w:divBdr>
    </w:div>
    <w:div w:id="1985044620">
      <w:bodyDiv w:val="1"/>
      <w:marLeft w:val="0"/>
      <w:marRight w:val="0"/>
      <w:marTop w:val="0"/>
      <w:marBottom w:val="0"/>
      <w:divBdr>
        <w:top w:val="none" w:sz="0" w:space="0" w:color="auto"/>
        <w:left w:val="none" w:sz="0" w:space="0" w:color="auto"/>
        <w:bottom w:val="none" w:sz="0" w:space="0" w:color="auto"/>
        <w:right w:val="none" w:sz="0" w:space="0" w:color="auto"/>
      </w:divBdr>
    </w:div>
    <w:div w:id="209605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9770A-32E9-4B71-B33C-B2349029C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11054</Words>
  <Characters>64002</Characters>
  <Application>Microsoft Office Word</Application>
  <DocSecurity>0</DocSecurity>
  <Lines>533</Lines>
  <Paragraphs>149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EETT</Company>
  <LinksUpToDate>false</LinksUpToDate>
  <CharactersWithSpaces>74907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ekou</dc:creator>
  <cp:lastModifiedBy>Sakorafas Christos</cp:lastModifiedBy>
  <cp:revision>3</cp:revision>
  <cp:lastPrinted>2023-07-11T03:43:00Z</cp:lastPrinted>
  <dcterms:created xsi:type="dcterms:W3CDTF">2026-02-02T08:59:00Z</dcterms:created>
  <dcterms:modified xsi:type="dcterms:W3CDTF">2026-02-02T09:17:00Z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